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ACPR/673/2018 vom 28. September 2018</w:t>
      </w:r>
    </w:p>
    <w:p>
      <w:r>
        <w:t>GE Cour de justice, 2018-09-28, FR</w:t>
      </w:r>
    </w:p>
    <w:p>
      <w:r>
        <w:rPr>
          <w:b/>
        </w:rPr>
        <w:t xml:space="preserve">Quelle: </w:t>
      </w:r>
      <w:r>
        <w:t>https://mcp.opencaselaw.ch/entscheid/ge_gerichte_ACPR_673_2018</w:t>
      </w:r>
    </w:p>
    <w:p>
      <w:r>
        <w:t>FR: GE_GERICHTE ACPR/673/2018 du 28 septembre 2018</w:t>
      </w:r>
    </w:p>
    <w:p>
      <w:r>
        <w:t>IT: GE_GERICHTE ACPR/673/2018 del 28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l'existence des charges, soutenant qu'elles ne se sont pas aggravées. Point n'est besoin dès lors de débattre de cette question.</w:t>
      </w:r>
    </w:p>
    <w:p>
      <w:r>
        <w:rPr>
          <w:b/>
        </w:rPr>
        <w:t>E. 3</w:t>
      </w:r>
    </w:p>
    <w:p>
      <w:r>
        <w:t>Le recourant fait grief au TMC d'avoir retenu les risques de fuite et de réitération qu'il avait expressément exclu dans l'ordonnance de mise en détention. Les décisions relatives à la détention provisoire doivent être périodiquement renouvelées (art. 227 CPP), afin notamment de garantir un examen régulier des conditions matérielles posées à l'art. 221 CPP. Cet examen est fondé sur les éléments du dossier de la procédure et peut par conséquent évoluer en fonction de l'avancement de l'instruction. Le TMC n'est dès lors pas tenu par les motifs qu'il a précédemment retenus, ni par ceux qui figurent dans la demande du Ministère public (cf. art. 226 al. 2 CPP). Il n'y a dès lors aucune violation du principe de la bonne foi lorsqu'il retient des motifs de détention qu'il aurait auparavant expressément ou implicitement écartés (arrêt du Tribunal fédéral 1B 640/2012 du 13 novembre 2012 consid. 3.2). Cela étant, l'autorité de recours applique le droit d'office, n'est pas liée par les motifs invoqués par les parties (art. 391 al. 1 let. a CPP) et dispose d'un plein pouvoir d'examen, en fait comme en droit (art. 393 al. 2 CPP; cf. arrêt 1B_768/2012 du 15 janvier 2013 consid. 2.1 et les références citées).</w:t>
      </w:r>
    </w:p>
    <w:p>
      <w:r>
        <w:rPr>
          <w:b/>
        </w:rPr>
        <w:t>E. 4</w:t>
      </w:r>
    </w:p>
    <w:p>
      <w:r>
        <w:t>Il conteste l'existence d'un risque de fuite motivant des mesures de substitution.</w:t>
      </w:r>
    </w:p>
    <w:p>
      <w:r>
        <w:t>- 8/12 - P/17163/2018</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4.2</w:t>
      </w:r>
    </w:p>
    <w:p>
      <w:r>
        <w:t>En l'espèce, le recourant est titulaire d'un permis B échu, qui serait selon ses dire en cours de renouvellement. Il serait au bénéfice d'un contrat de travail dans ______ depuis 5 mois; on ignore tout de ses précédents emplois et des difficultés qu'il aurait à les conserver. Il est en instance de divorce, sans que l'on ait connaissance des relations qu'il entretiendrait avec son épouse dont il dit qu'elle dépendrait de l'Hospice général, et a deux enfants en bas âge. Sa famille vit au O______ mis à part son frère qui vit à Genève. Au regard de sa situation familiale qui connaît un bouleversement important, de la procédure pénale qui pourrait mener à son expulsion et de l'inconnue liée à sa situation administrative qui en découle, il existe dès lors effectivement un certain risque, que le TMC et le Ministère public qualifient toutefois de ténu. Les mesures de substitution destinées à pallier ce risque, qui avaient été acceptées par le recourant, sont l'obligation de déposer toutes pièces d'identité et permis de séjour (1.b), l'interdiction de quitter le territoire suisse (1.c) et d'informer la Direction de la procédure, soit le Ministère public, en l'état, de tout changement d'adresse (1.i). Elles paraissent adéquates et proportionnées et le recourant ne prétend pas qu'elles le mettraient dans une situation difficile. Le grief est rejeté.</w:t>
      </w:r>
    </w:p>
    <w:p>
      <w:r>
        <w:rPr>
          <w:b/>
        </w:rPr>
        <w:t>E. 5</w:t>
      </w:r>
    </w:p>
    <w:p>
      <w:r>
        <w:t>Il conteste l'existence d'un risque de réitération motivant des mesures de substitution.</w:t>
      </w:r>
    </w:p>
    <w:p>
      <w:r>
        <w:rPr>
          <w:b/>
        </w:rPr>
        <w:t>E. 5.1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w:t>
      </w:r>
    </w:p>
    <w:p>
      <w:r>
        <w:t>- 9/12 - P/17163/2018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5.2</w:t>
      </w:r>
    </w:p>
    <w:p>
      <w:r>
        <w:t>En l'espèce, le recourant n'a pas d'antécédents judiciaires en Suisse. Les charges pesant sur lui d'avoir participé à l'agression de l'arbitre confinent à la certitude, au sens de la jurisprudence. L'agression est un crime contre la vie et l'intégrité corporelle. Cela étant, le recourant n'est pas connu pour avoir un comportement agressif ou imprévisible. Si son attitude durant le match a été disproportionnée et lui a fait perdre la maîtrise de lui-même, il ressort de l'ensemble des témoignages qu'il y a eu une bagarre généralisée où nombre de joueurs sont intervenus pour séparer les protagonistes et que des coups ont été donnés, certes par le recourant, mais par d'autres également. Le prévenu a été exclu du club, ou le sera très vraisemblablement. On peut raisonnablement penser, faute d'autres cas portés à la connaissance de la Chambre de céans, que le recourant n'aura plus l'occasion de se retrouver en pareille situation. Les conséquences judiciaires de ses actes devraient lui apparaître avec suffisamment d'importance pour le dissuader d'adopter un comportement comparable. La Chambre de céans considère dès lors qu'il n'y a pas de risque de réitération concret et qu'aucune mesure de substitution n'est justifiée sous cet angle. Ainsi, les mesures consistant en l'obligation d'entreprendre, au rythme et conditions fixés par le thérapeute, un traitement psychothérapeutique contre la violence, par exemple auprès de C______ (1. e), obligation de produire en mains du Service de probation et d'insertion, chaque mois, un certificat attestation de la régularité du suivi</w:t>
      </w:r>
    </w:p>
    <w:p>
      <w:r>
        <w:t>- 10/12 - P/17163/2018 thérapeutique et celles en découlant soit f), g) et h), ne sont pas justifiées et seront annulées.</w:t>
      </w:r>
    </w:p>
    <w:p>
      <w:r>
        <w:rPr>
          <w:b/>
        </w:rPr>
        <w:t>E. 6</w:t>
      </w:r>
    </w:p>
    <w:p>
      <w:r>
        <w:t>Le recourant a conclu à ce qu'il ne lui soit pas obligé de déférer à toute convocation du pouvoir judiciaire et de la police (1.a). Il n'explique cependant pas pourquoi il ne devrait pas respecter cette obligation qui relève avant tout du mandat de comparution avec ses conséquences en cas de refus de s'y soumettre, mais qui peut être imposée également au titre de mesure de substitution aux fins d'attirer l'attention du prévenu sur ses obligations procédurales. Ce grief sera rejeté.</w:t>
      </w:r>
    </w:p>
    <w:p>
      <w:r>
        <w:rPr>
          <w:b/>
        </w:rPr>
        <w:t>E. 7</w:t>
      </w:r>
    </w:p>
    <w:p>
      <w:r>
        <w:t>Le recours s'avère ainsi partiellement fondé et l'ordonnance sera annulée en conséquence.</w:t>
      </w:r>
    </w:p>
    <w:p>
      <w:r>
        <w:rPr>
          <w:b/>
        </w:rPr>
        <w:t>E. 8</w:t>
      </w:r>
    </w:p>
    <w:p>
      <w:r>
        <w:t>Le recourant, qui succombe partiellement, supportera les frais envers l'État, qui comprendront un émolument de CHF 500.- (art. 428 al. 1 CPP et 13 al. 1 du Règlement fixant le tarif des frais en matière pénale, RTFMP ; E 4 10.03).</w:t>
      </w:r>
    </w:p>
    <w:p>
      <w:r>
        <w:rPr>
          <w:b/>
        </w:rPr>
        <w:t>E. 9</w:t>
      </w:r>
    </w:p>
    <w:p>
      <w:r>
        <w:t>Le recourant plaide au bénéfice de l'assistance judiciaire. Il ne se justifie dès lors pas de statuer, à ce stade, sur la demande d'indemnisation des frais de défense (cf. art. 135 al. 2 CPP) * * * * *</w:t>
      </w:r>
    </w:p>
    <w:p>
      <w:r>
        <w:t>- 11/12 - P/17163/2018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