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ACPR/671/2021 vom 24. Juni 2021</w:t>
      </w:r>
    </w:p>
    <w:p>
      <w:r>
        <w:t>GE Cour de justice, 2021-06-24, FR</w:t>
      </w:r>
    </w:p>
    <w:p>
      <w:r>
        <w:rPr>
          <w:b/>
        </w:rPr>
        <w:t xml:space="preserve">Quelle: </w:t>
      </w:r>
      <w:r>
        <w:t>https://mcp.opencaselaw.ch/entscheid/ge_gerichte_ACPR_671_2021</w:t>
      </w:r>
    </w:p>
    <w:p>
      <w:r>
        <w:t>FR: GE_GERICHTE ACPR/671/2021 du 24 juin 2021</w:t>
      </w:r>
    </w:p>
    <w:p>
      <w:r>
        <w:t>IT: GE_GERICHTE ACPR/671/2021 del 24 giugno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En dehors des cas de défense obligatoire, qui ne concernent pas le cas d'espèce, 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Les intérêts du prévenu justifient une défense d'office lorsque la cause n'est pas de peu de gravité et qu'elle présente, sur le plan des faits ou du droit, des difficultés que le prévenu seul ne pourrait pas surmonter (art. 132 al. 2 CPP), ces deux conditions étant cumulatives (arrêt du Tribunal fédéral 1B_477/2011 du 4 janvier 2012 consid. 2.2.). Pour évaluer si l'affaire présente des difficultés que le prévenu ne pourrait pas surmonter sans l'aide d'un avocat, il y a lieu d'apprécier l'ensemble des circonstances concrètes. Il faut tenir compte notamment des capacités du prévenu, de son expérience dans le domaine juridique ainsi que des mesures qui paraissent nécessaires, dans le cas particulier, pour assurer sa défense, notamment en ce qui concerne les preuves qu'il devra offrir (ATF 115 Ia 103 consid. 4 p. 105). En tout état de cause, une affaire n'est pas de peu de gravité lorsque le prévenu est passible d'une peine privative de liberté de plus de 4 mois ou d'une peine pécuniaire de plus de 120 jours-amende (art. 132 al. 3 CPP), ces critères reprenant largement la jurisprudence du Tribunal fédéral en matière d'assistance judiciaire rendue sur la base des art. 29 al. 3 Cst. et 6 par. 3 let. c CEDH (ATF 128 I 225 consid. 2.5.2 p. 232). Si le prévenu n'encourt qu'une amende ou une peine privative de liberté de courte durée, de telle sorte que l'on puisse parler d'un cas bagatelle, le prévenu n'a pas de droit constitutionnel à la désignation d'un défenseur d'office gratuit (ATF 128 I 225</w:t>
      </w:r>
    </w:p>
    <w:p>
      <w:r>
        <w:t>- 4/5 - PS/36/2021 consid. 2.5.2 p. 233 ; ATF 122 I 49 consid. 2c/bb p. 51 ; arrêts du Tribunal fédéral 6B_695/2012 du 9 avril 2013 consid. 1.2).</w:t>
      </w:r>
    </w:p>
    <w:p>
      <w:r>
        <w:rPr>
          <w:b/>
        </w:rPr>
        <w:t>E. 3.2</w:t>
      </w:r>
    </w:p>
    <w:p>
      <w:r>
        <w:t>En l'espèce, le comportement reproché à la recourante est une contravention passible d'une amende. La cause ne revêt pas de difficultés particulières, surtout quant à l'établissement des faits, la recourante étant capable de porter seule à la connaissance des autorités les faits qu'elle estime pertinents et de les assortir de preuves. Du reste, jusqu'à présent, elle a pu se défendre seule et agir dans les délais, sans que l'appui d'un conseil ne soit nécessaire. Au vu de ce qui précède, c'est à juste titre que le SdC a considéré que les conditions de la défense d'office n'étaient pas réalisées.</w:t>
      </w:r>
    </w:p>
    <w:p>
      <w:r>
        <w:rPr>
          <w:b/>
        </w:rPr>
        <w:t>E. 4</w:t>
      </w:r>
    </w:p>
    <w:p>
      <w:r>
        <w:t>Justifiée, l'ordonnance querellée sera donc confirmée.</w:t>
      </w:r>
    </w:p>
    <w:p>
      <w:r>
        <w:rPr>
          <w:b/>
        </w:rPr>
        <w:t>E. 5</w:t>
      </w:r>
    </w:p>
    <w:p>
      <w:r>
        <w:t>La décision de refus de l'assistance judiciaire sera rendue sans frais (art. 20 RAJ; arrêt du Tribunal fédéral 6B_215/2018 du 14 juin 2018 consid. 1.2). * * * * *</w:t>
      </w:r>
    </w:p>
    <w:p>
      <w:r>
        <w:t>- 5/5 - PS/36/2021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