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ACPR/66/2023 vom 18. Oktober 2022</w:t>
      </w:r>
    </w:p>
    <w:p>
      <w:r>
        <w:t>GE Cour de justice, 2022-10-18, FR</w:t>
      </w:r>
    </w:p>
    <w:p>
      <w:r>
        <w:rPr>
          <w:b/>
        </w:rPr>
        <w:t xml:space="preserve">Quelle: </w:t>
      </w:r>
      <w:r>
        <w:t>https://mcp.opencaselaw.ch/entscheid/ge_gerichte_ACPR_66_2023</w:t>
      </w:r>
    </w:p>
    <w:p>
      <w:r>
        <w:t>FR: GE_GERICHTE ACPR/66/2023 du 18 octobre 2022</w:t>
      </w:r>
    </w:p>
    <w:p>
      <w:r>
        <w:t>IT: GE_GERICHTE ACPR/66/2023 del 18 ottobre 2022</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222 et 393 al. 1 let. c CPP) et émaner du prévenu qui, partie à la procédure (art. 104 al. 1 let. a CPP), a qualité pour agir, ayant un intérêt juridiquement protégé à la modification ou à l'annulation des décisions querellées (art. 382 al. 1 CPP).</w:t>
      </w:r>
    </w:p>
    <w:p>
      <w:r>
        <w:rPr>
          <w:b/>
        </w:rPr>
        <w:t>E. 2</w:t>
      </w:r>
    </w:p>
    <w:p>
      <w:r>
        <w:t>Vu leur connexité évidente, les recours seront joints et traités en un seul arrêt.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 133 I 270 consid. 2.2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w:t>
      </w:r>
    </w:p>
    <w:p>
      <w:r>
        <w:t>- 9/12 - P/21600/2018 soupçonné - avec une probabilité confinant à la certitude - de les avoir commises (ATF 137 IV 84 consid. 3.2 et les références citées).</w:t>
      </w:r>
    </w:p>
    <w:p>
      <w:r>
        <w:rPr>
          <w:b/>
        </w:rPr>
        <w:t>E. 4.2</w:t>
      </w:r>
    </w:p>
    <w:p>
      <w:r>
        <w:t>Conformément au principe de la proportionnalité (art. 36 al. 3 Cst., concrétisé par l'art. 237 al. 1 CPP), le tribunal compétent ordonne une ou plusieurs mesures – énumérées de manière non exhaustives à l'art. 237 CPP – moins sévères en lieu et place de la détention si elles permettent d'atteindre le même but que la détention. À l'instar de la détention provisoire ou pour des motifs de sûreté, les mesures de substitution doivent en tout temps demeurer proportionnées au but poursuivi, tant par leur nature que par leur durée (ATF 140 IV 74 consid. 2.2).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 loi (arrêt du Tribunal fédéral 1B_485/2019 du 12 novembre 2019 consid. 3.1).</w:t>
      </w:r>
    </w:p>
    <w:p>
      <w:r>
        <w:rPr>
          <w:b/>
        </w:rPr>
        <w:t>E. 4.3</w:t>
      </w:r>
    </w:p>
    <w:p>
      <w:r>
        <w:t>En l'espèce, il est pour le moins contradictoire de la part du recourant de contester par la voie du recours la prolongation par le TMC de mesures de substitution qu'il s'est formellement engagé à respecter par-devant ce même tribunal, un tel comportement pouvant s'apparenter à un abus de droit.</w:t>
      </w:r>
    </w:p>
    <w:p>
      <w:r>
        <w:t>Cette question peut cependant rester ouverte, les recours devant de toute manière être rejetés.</w:t>
      </w:r>
    </w:p>
    <w:p>
      <w:r>
        <w:t>Le recourant semble contester les risques de fuite et de collusion. Or, les mesures de substitution dont il sollicite la levée ou la non-prolongation se rattachent exclusivement au risque de récidive. Partant, il n'y a pas lieu de les examiner plus avant ni de s'appesantir sur la motivation du TMC à cet égard.</w:t>
      </w:r>
    </w:p>
    <w:p>
      <w:r>
        <w:t>Le recourant considère que le risque de réitération ne saurait être contenu par une interdiction de consommer de l'alcool, faute d'infraction commise en lien avec l'alcool. Il s'est néanmoins accommodé de cette interdiction imposée à la suite des évènements du 7 janvier 2022 dans laquelle la consommation de toxiques – à tout le moins de cocaïne – semble avoir joué un rôle, avant de présenter une consommation excessive et régulière d'alcool durant l'été 2022, contrevenant par ailleurs à l'interdiction faite. Il a ainsi admis avoir consommé alcool et stupéfiants avant son hospitalisation à la clinique G______, le 13 juillet 2022, en raison d'une grave dépression, ne déférant par ailleurs pas ou peu aux convocations du SPI. Après sa sortie de la clinique, le 6 septembre 2022, il s'est même mis à boire de façon compulsive, ensuite de sa séparation avec son épouse, ce qui a conduit à une</w:t>
      </w:r>
    </w:p>
    <w:p>
      <w:r>
        <w:t>- 10/12 - P/21600/2018 nouvelle hospitalisation en urgence à H______. S'il est à présent suivi par un psychiatre et va "un peu mieux" selon ses propres déclarations, rien ne permet d'affirmer, faute d'éléments médicaux probants, que le risque qu'il commette à nouveau des infractions du type de celles reprochées le 7 janvier 2022 est écarté, vu son état psychique actuel, le recourant se disant encore "extrêmement déprimé". Le fait qu'il vive seul dans un hôtel et n'ait plus de contact avec sa famille constitue en outre un facteur aggravant. À cette aune, sa promesse de ne plus consommer de toxiques n'apparaît pas suffisante, pas plus qu'elle ne l'est au regard de la violation (reconnue) de ses précédents engagements.</w:t>
      </w:r>
    </w:p>
    <w:p>
      <w:r>
        <w:t>On ne voit pas en quoi l'interdiction de consommer des stupéfiants ne pourrait pas être érigée en mesures de substitution, eu égard aux événements survenus le 7 janvier 2022 et ainsi au risque que le recourant ne commette à nouveau des actes dangereux pour la collectivité.</w:t>
      </w:r>
    </w:p>
    <w:p>
      <w:r>
        <w:t>L'obligation de se soumettre à des contrôles d'abstinence étant le corollaire des interdictions de consommation de toxiques imposées, elle a tout son sens et est, elle aussi, proportionnée.</w:t>
      </w:r>
    </w:p>
    <w:p>
      <w:r>
        <w:t>Quant à l'interdiction de conduire tout type de véhicule à moteur, si elle semble aller de soi dès lors que le recourant est désormais privé de son permis de conduire, elle reste proportionnée à la lumière des évènements survenus le 7 janvier 2022 et de l'état de dangerosité occasionné pour les autres usagers de la route, étant relevé que l'absence de permis ne saurait constituer un frein suffisant à toute nouvelle récidive en matière de circulation routière.</w:t>
      </w:r>
    </w:p>
    <w:p>
      <w:r>
        <w:t>Au vu de ce qui précède, c'est donc à bon droit que le TMC a refusé de lever les mesures de substitution critiquées, respectivement les a prolongées.</w:t>
      </w:r>
    </w:p>
    <w:p>
      <w:r>
        <w:rPr>
          <w:b/>
        </w:rPr>
        <w:t>E. 5</w:t>
      </w:r>
    </w:p>
    <w:p>
      <w:r>
        <w:t>Justifiées, les ordonnances querellées seront donc confirmées.</w:t>
      </w:r>
    </w:p>
    <w:p>
      <w:r>
        <w:rPr>
          <w:b/>
        </w:rPr>
        <w:t>E. 6</w:t>
      </w:r>
    </w:p>
    <w:p>
      <w:r>
        <w:t>Le recourant, qui succombe, supportera les frais envers l'État, qui comprendront un émolument de CHF 1'000.- (art. 428 al. 1 CPP et 13 al. 1 du Règlement fixant le tarif des frais en matière pénale, RTFMP ; E 4 10.03). * * * * *</w:t>
      </w:r>
    </w:p>
    <w:p>
      <w:r>
        <w:t>- 11/12 - P/21600/2018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