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ACPR/66/2022 vom 28. Juni 2021</w:t>
      </w:r>
    </w:p>
    <w:p>
      <w:r>
        <w:t>GE Cour de justice, 2021-06-28, FR</w:t>
      </w:r>
    </w:p>
    <w:p>
      <w:r>
        <w:rPr>
          <w:b/>
        </w:rPr>
        <w:t xml:space="preserve">Quelle: </w:t>
      </w:r>
      <w:r>
        <w:t>https://mcp.opencaselaw.ch/entscheid/ge_gerichte_ACPR_66_2022</w:t>
      </w:r>
    </w:p>
    <w:p>
      <w:r>
        <w:t>FR: GE_GERICHTE ACPR/66/2022 du 28 juin 2021</w:t>
      </w:r>
    </w:p>
    <w:p>
      <w:r>
        <w:t>IT: GE_GERICHTE ACPR/66/2022 del 28 giugno 2021</w:t>
      </w:r>
    </w:p>
    <w:p>
      <w:pPr>
        <w:pStyle w:val="Heading2"/>
      </w:pPr>
      <w:r>
        <w:t>Erwägungen</w:t>
      </w:r>
    </w:p>
    <w:p>
      <w:r>
        <w:rPr>
          <w:b/>
        </w:rPr>
        <w:t>E. 1</w:t>
      </w:r>
    </w:p>
    <w:p>
      <w:r>
        <w:t>1.1. Les deux recours, formés par actes séparés, sont dirigés contre la même décision, ont trait au même complexe de faits et font état de griefs et arguments similaires. Au regard du principe de l'économie de procédure, il se justifie donc de les traiter dans un seul et même arrêt; partant, ils seront joints, vu leur connexité.</w:t>
      </w:r>
    </w:p>
    <w:p>
      <w:r>
        <w:rPr>
          <w:b/>
        </w:rPr>
        <w:t>E. 1.2</w:t>
      </w:r>
    </w:p>
    <w:p>
      <w:r>
        <w:t>Ils sont recevables pour avoir été déposés selon la forme et dans le délai prescrits (art. 385 al. 1 et 396 al. 1 CPP), concerner une ordonnance sujette à recours auprès de la Chambre de céans (art. 393 al. 1 let. a CPP) et émaner des plaignants qui, partie à la procédure (art. 104 al. 1 let. a CPP), ont qualité pour agir, ayant un intérêt juridiquement protégé à la modification ou à l'annulation de la décision querellée (art. 382 al. 1 CPP).</w:t>
      </w:r>
    </w:p>
    <w:p>
      <w:r>
        <w:rPr>
          <w:b/>
        </w:rPr>
        <w:t>E. 2</w:t>
      </w:r>
    </w:p>
    <w:p>
      <w:r>
        <w:t>Les recourants se plaignent que le Ministère public n’ait pas retenu l’existence vraisemblable de faux dans les titres, sans procéder au moindre acte d’instruction.</w:t>
      </w:r>
    </w:p>
    <w:p>
      <w:r>
        <w:t>- 7/11 - P/1358/2021</w:t>
      </w:r>
    </w:p>
    <w:p>
      <w:r>
        <w:rPr>
          <w:b/>
        </w:rPr>
        <w:t>E. 2.1</w:t>
      </w:r>
    </w:p>
    <w:p>
      <w:r>
        <w:t>Conformément à l'art. 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ou lorsqu'il existe des empêchements de procéder (let. b). Selon la jurisprudence, cette disposition doit être appliquée conformément au principe in dubio pro duriore,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la procédure doit être ouverte (ATF 143 IV 241 consid. 2.2.1 p. 243 ; arrêt du Tribunal fédéral 6B_1153/2016 du 23 janvier 2018 consid. 3.1., non publié in ATF 144 IV 81).</w:t>
      </w:r>
    </w:p>
    <w:p>
      <w:r>
        <w:rPr>
          <w:b/>
        </w:rPr>
        <w:t>E. 2.2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251 ch. 1 CP vise aussi un titre mensonger (faux intellectuel).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Le document doit donc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 958a ss. CO (ancien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p. 260 s.). La jurisprudence considère que certains documents possèdent une valeur probante accrue en raison de la fonction de la personne qui les établit – cette personne se trouvant dans une position comparable à celle d'un garant à l'égard des personnes induites en erreur –. Toutefois, le seul fait que le document mentionne, ou soit matériellement rédigé par, une personne qui jouit dans les faits d'un crédit particulier – comme un notaire – n'accroît pas sa valeur probante (ATF 146 IV 258 consid. 1.1.2. p. 263). Ainsi, le fait que le contrat de vente d'un établissement public ait été préparé par la fiduciaire du vendeur ne suffit pas à en</w:t>
      </w:r>
    </w:p>
    <w:p>
      <w:r>
        <w:t>- 8/11 - P/1358/2021 faire un faux intellectuel, fût-ce pour tromper un tiers (ATF 146 IV 258 consid. 1.2.4 p. 265).</w:t>
      </w:r>
    </w:p>
    <w:p>
      <w:r>
        <w:rPr>
          <w:b/>
        </w:rPr>
        <w:t>E. 2.3</w:t>
      </w:r>
    </w:p>
    <w:p>
      <w:r>
        <w:t>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138 IV 130 consid. 3.2.4; arrêt du Tribunal fédéral 6B_496/2017 du 24 janvier 2018 consid. 2.2).</w:t>
      </w:r>
    </w:p>
    <w:p>
      <w:r>
        <w:rPr>
          <w:b/>
        </w:rPr>
        <w:t>E. 2.4</w:t>
      </w:r>
    </w:p>
    <w:p>
      <w:r>
        <w:t>La notion de titre utilisé par l'art. 251 CP est définie par l'art. 110 al.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Les infractions du droit pénal relatives aux titres protègent la confiance qui, dans les relations juridiques, est placée dans un titre comme moyen de preuve (ATF 138 IV 130 consid. 2.1 p. 134). C'est pourquoi parmi les titres on ne trouve notamment que les écrits destinés et propres à prouver un fait ayant une portée juridique. Le caractère de titre d'un écrit est relatif. Par certains aspects, il peut avoir ce caractère, par d'autres non (ATF 138 IV 130 consid. 2.2. 1 p. 135; 132 IV 57 consid. 5.1 p. 59). La destination et l'aptitude à prouver un fait précis d'un document peuvent résulter directement de la loi, des usages commerciaux ou du sens et de la nature dudit document (ATF 138 IV 130 consid. 2.2. 1 p. 135; 132 IV 57 consid. 5.1 p. 59). 2.5.1. Les demandes d'autorisation de construire sont adressées au département (art. 2 al. 1 LCI et 9 al. 1 RCI). Le règlement d'application détermine les pièces qui doivent être déposées par le demandeur et les indications que celui-ci doit fournir concernant les objets destinés à occuper le sous-sol de façon permanente (art. 2 al. 2 LCI). L'art. 9 al. 2 RCI décrit les plans et documents qu'il y a lieu de joindre à la demande, étant précisé que l'extrait du plan d'ensemble, peut être obtenu soit sur le guichet cartographique de la mensuration officielle, soit auprès d'un ingénieur-géomètre officiel, avec indication de la ou des parcelles concernées (let. a). Sur le plan cadastral, la nouvelle construction doit être figurée et cotée par rapport aux limites de</w:t>
      </w:r>
    </w:p>
    <w:p>
      <w:r>
        <w:t>- 9/11 - P/1358/2021 propriété, avec des niveaux aux angles des constructions, des coupes de principe sur la construction projetée, et l'indication des gabarits théoriques, de telle sorte qu'il soit facile de déterminer ses relations avec les voies les plus proches (publiques ou chemins privés) et les propriétés limitrophes sur une profondeur de 15 m au moins, en indiquant les constructions existantes et, le cas échéant, les distances aux lisières forestières, au lac et aux cours d'eau. Sont également précisés : les emplacements de stationnement, l'aménagement des accès, les raccordements à la voie publique, les sens de circulation prévus, ainsi que les raccords aux canalisations d'évacuation existantes, les bâtiments encore non cadastrés ou qui ne nécessitent pas de cadastration, éventuellement à conserver ou à démolir, et les arbres à abattre. La signature du plan cadastral par un ingénieur-géomètre officiel est obligatoire, sauf lorsque l'objet de la demande porte uniquement sur la transformation, la rénovation ou le changement d'affectation d'une construction (let. b). 2.5.2. Selon l'ATA/636/2011 (consid. a et b), "Les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LCI, 18 RCI ; art. 145 LCI et 60 LPA).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w:t>
      </w:r>
    </w:p>
    <w:p>
      <w:r>
        <w:rPr>
          <w:b/>
        </w:rPr>
        <w:t>E. 2.6</w:t>
      </w:r>
    </w:p>
    <w:p>
      <w:r>
        <w:t>En l'espèce, s'appuyant sur une expertise privée et sur l'admission de sa pertinence par les auteurs des plans devant la justice civile, les recourants mettent en doute l'authenticité des plans produits par des promoteurs pour l'obtention d'une autorisation de construire que, sans cela, ils n'auraient pu recevoir. Agissant ainsi, ils avaient bénéficié d'un avantage illicite et leur comportement pénal semblait a priori établi. Compte tenu des éléments factuels incertains subsistant, que la Chambre administrative a relevés mais n'a pas élucidés puisque cela n'était pas nécessaire dans le contexte qui lui était soumis, le Ministère public ne pouvait en tirer aucune conséquence sans avoir au préalable cherché à connaître les circonstances dans lesquelles un plan devant être délivré selon des exigences formelles destinées à garantir l'exercice du droit de chacun de consulter les projets de construction qui sont déposés, et celui des personnes disposant d'un intérêt digne de protection de recourir, cas échéant, avait été dressé et produit. En l'occurrence, il faut admettre que les recourants, en leur qualité de voisins, pourraient avoir être lésés par une éventuelle</w:t>
      </w:r>
    </w:p>
    <w:p>
      <w:r>
        <w:t>- 10/11 - P/1358/2021 infraction de faux dans les titres (art. 251 CP) commise en lien avec la présentation de faux documents lors de la soumission de l’autorisation de construire et les promoteurs avoir ainsi obtenu un avantage pécuniaire non négligeable pour n'avoir pas à envisager des installations supplémentaires nécessaires au respect de l'OCEau. Ainsi, en l'état, les allégations des recourants suffisent à leur reconnaître la qualité de lésé, s'agissant d’une éventuelle infraction de faux dans les titres, et les circonstances de l’établissement des plans et de leur utilisation doivent être examinées par le Ministère public. L'ordonnance querellée sera par conséquent annulée, le prononcé d'une ordonnance de non-entrée en matière n'étant pas envisageable et la cause sera retournée au Ministère public pour ouverture d'une instruction, charge à lui de mener les actes d'enquêtes utiles, notamment l'audition des recourants, des promoteurs, des responsables de l'établissement des plans et de l’employé du Département cité par l’un des recourants.</w:t>
      </w:r>
    </w:p>
    <w:p>
      <w:r>
        <w:rPr>
          <w:b/>
        </w:rPr>
        <w:t>E. 3</w:t>
      </w:r>
    </w:p>
    <w:p>
      <w:r>
        <w:t>L'admission du recours ne donne pas lieu à la perception de frais (art. 428 al. 1 CPP).</w:t>
      </w:r>
    </w:p>
    <w:p>
      <w:r>
        <w:rPr>
          <w:b/>
        </w:rPr>
        <w:t>E. 4</w:t>
      </w:r>
    </w:p>
    <w:p>
      <w:r>
        <w:t>Les recourants agissant en personne, aucune indemnité ne leur sera due pour la procédure de recours. * * * * *</w:t>
      </w:r>
    </w:p>
    <w:p>
      <w:r>
        <w:t>- 11/11 - P/1358/2021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