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ACPR/664/2024 vom 28. Mai 2024</w:t>
      </w:r>
    </w:p>
    <w:p>
      <w:r>
        <w:t>GE Cour de justice, 2024-05-28, FR</w:t>
      </w:r>
    </w:p>
    <w:p>
      <w:r>
        <w:rPr>
          <w:b/>
        </w:rPr>
        <w:t xml:space="preserve">Quelle: </w:t>
      </w:r>
      <w:r>
        <w:t>https://mcp.opencaselaw.ch/entscheid/ge_gerichte_ACPR_664_2024</w:t>
      </w:r>
    </w:p>
    <w:p>
      <w:r>
        <w:t>FR: GE_GERICHTE ACPR/664/2024 du 28 mai 2024</w:t>
      </w:r>
    </w:p>
    <w:p>
      <w:r>
        <w:t>IT: GE_GERICHTE ACPR/664/2024 del 28 maggio 2024</w:t>
      </w:r>
    </w:p>
    <w:p>
      <w:pPr>
        <w:pStyle w:val="Heading2"/>
      </w:pPr>
      <w:r>
        <w:t>Erwägungen</w:t>
      </w:r>
    </w:p>
    <w:p>
      <w:r>
        <w:rPr>
          <w:b/>
        </w:rPr>
        <w:t>E. 1.1</w:t>
      </w:r>
    </w:p>
    <w:p>
      <w:r>
        <w:t>Le recours a été déposé dans le délai prescrit (art.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1.2</w:t>
      </w:r>
    </w:p>
    <w:p>
      <w:r>
        <w:t>Bien que l'acte de recours ne contienne pas de conclusions formelles (art. 385 al.1 CPP), on comprend que le recourant – qui agit en personne – souhaite l'annulation de l'ordonnance querellée et l'ouverture d'une instruction. Partant, le recours est recevable.</w:t>
      </w:r>
    </w:p>
    <w:p>
      <w:r>
        <w:rPr>
          <w:b/>
        </w:rPr>
        <w:t>E. 2</w:t>
      </w:r>
    </w:p>
    <w:p>
      <w:r>
        <w:t>Le recourant reproche au Ministère public de ne pas être entré en matière sur sa plainte.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w:t>
      </w:r>
    </w:p>
    <w:p>
      <w:r>
        <w:t>- 5/9 - P/13017/2024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w:t>
      </w:r>
    </w:p>
    <w:p>
      <w:r>
        <w:rPr>
          <w:b/>
        </w:rPr>
        <w:t>E. 2.2</w:t>
      </w:r>
    </w:p>
    <w:p>
      <w:r>
        <w:t>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2.2.1</w:t>
      </w:r>
    </w:p>
    <w:p>
      <w:r>
        <w:t>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p. 78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 conclusion d'un contrat suppose en effet qu'on prête à son cocontractant un minimum d'honnêteté et qu'on ne le traite pas avec une méfiance de principe (ATF 147 IV 73 consid. 3.2 p. 79 ss). L'astuce est exclue si la dupe n'a pas procédé aux vérifications élémentaires que l'on pouvait attendre d'elle au vu des circonstances, notamment compte tenu de son degré d'expérience dans le domaine concerné (ATF 135 IV 76 consid. 5.2 p. 80 ss; arrêt du Tribunal fédéral 6B_977/2018 du 27 décembre 2018 consid. 1.1). Une coresponsabilité de la dupe n'exclut toutefois l'astuce que dans des cas exceptionnels, soit lorsque son imprudence fait passer le comportement frauduleux de l'auteur au second plan (ATF</w:t>
      </w:r>
    </w:p>
    <w:p>
      <w:r>
        <w:t>- 6/9 - P/13017/2024 147 IV 73 consid. 3.2 p. 80 ; 142 IV 153 consid. 2.2.2 p. 155 ; 135 IV 76 consid. 5.2 p. 81 ; arrêt du Tribunal fédéral 6B_212/2020 du 21 avril 2021 consid. 2.4).</w:t>
      </w:r>
    </w:p>
    <w:p>
      <w:r>
        <w:rPr>
          <w:b/>
        </w:rPr>
        <w:t>E. 2.2.2</w:t>
      </w:r>
    </w:p>
    <w:p>
      <w:r>
        <w:t>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p. 79 ; 128 IV 18 consid. 3a p. 21 ; arrêt du Tribunal fédéral 6B_1010/2018 du 22 janvier 2019 consid. 3.3.1).</w:t>
      </w:r>
    </w:p>
    <w:p>
      <w:r>
        <w:rPr>
          <w:b/>
        </w:rPr>
        <w:t>E. 2.3</w:t>
      </w:r>
    </w:p>
    <w:p>
      <w:r>
        <w:t>En l'espèce, le recourant, garagiste, estime avoir été victime d'une escroquerie dans le cadre de l'achat d'une E______/1______ pour CHF 29'500.-, en novembre 2022, qu'il a revendue à un tiers le 19 avril 2023, pour le prix de CHF 34'000.-. Or, il est apparu qu'après qu'elle était tombée en panne sur l'autoroute le lendemain, elle n'avait pas environ 77'000 kilomètres au compteur mais, selon les vérifications faites par le garage E______ où elle avait été conduite en réparation, déjà 274'000 kilomètres au compteur en août 2022. Un véhicule présentant autant de kilomètres n'aurait valu que moins de CHF 10'000.- aux dires du recourant. Il apparait que le recourant a été trompé sur le kilométrage de la voiture au moment de son acquisition. Cette voiture lui a été amenée à son garage par H______, avec lequel il a concédé avoir fait précédemment d'autres transactions similaires, et un certain F______. Ce dernier, qui a signé le contrat de vente produit par le recourant, n'a pas pu être identifié par la police. Le rôle de H______ dans la transaction ne semble pas aussi minime ni exempt de reproches qu'il veut bien le laisser entendre. Il a en effet indiqué à la police que F______ l'avait contacté par l'intermédiaire de son ex-femme pour acheter une voiture de type "L______ 4x4". F______ l'avait appelé le 16 novembre 2022 au matin et lui avait dit qu'en plus de vouloir acheter une "L______ 4x4", il voulait revendre la E______/1______ qu'il venait d'acheter à J______. H______ avait donc proposé à F______ une E______/2______ qui lui appartenait, et tous deux s'étaient vus à I______ pour la vente. Il n'avait conservé ni le contrat de vente, ni le numéro de châssis de ce véhicule. Cet élément interroge, outre que l'intéressé n'a pas indiqué le prix acquitté pour ce véhicule ni les modalités. Il est de plus pour le moins curieux qu'il n'ait pas su que son ex-femme était la détentrice de la E______/1______ qu'il allait conduire à Genève avec F______ pour la proposer au recourant. Il est aussi douteux qu'il se soit déplacé de I______ à D______ à titre purement gracieux, à savoir sans bénéficier d'un quelconque avantage pour ce qu'il qualifie de rôle d'intermédiaire. Il n'a pas pu ou voulu donner à la police le raccordement de F______</w:t>
      </w:r>
    </w:p>
    <w:p>
      <w:r>
        <w:t>- 7/9 - P/13017/2024 et n'a pas transmis, comme il s'y était engagé, le listing de son opérateur des appels effectués et reçus le 16 novembre 2022, date de la vente litigieuse. Cela étant, c'est à juste titre que le Ministère public considère, dans sa réponse au recours, que la condition de la tromperie astucieuse semble ne pas être réalisée en l'espèce. Le recourant est en effet garagiste de métier et gère sa propre entreprise. Quand bien même il avait effectué préalablement quelques transactions similaires avec H______, cela ne l'affranchissait pas de procéder à un minimum de contrôles avant d'acheter la E______/1______, à commencer par demander à F______ ses papiers d'identité et en lever copie. De même, il lui revenait de s'interroger sur les circonstances dans lesquelles la E______/1______ avait été acquise, à savoir apparemment le 13 novembre 2022, trois jours plus tôt seulement, à quel prix, et d'obtenir copie du contrat de vente. Dans ces conditions, la question de savoir s'il aurait pu savoir par un concessionnaire E______ ou par son expérience dans le domaine, le kilométrage réel de ce véhicule avant d'en acquitter le prix, peut demeurer ouverte. Ainsi, par substitution de motifs, l'ordonnance querellée sera confirmée.</w:t>
      </w:r>
    </w:p>
    <w:p>
      <w:r>
        <w:rPr>
          <w:b/>
        </w:rPr>
        <w:t>E. 3</w:t>
      </w:r>
    </w:p>
    <w:p>
      <w:r>
        <w:t>Le recourant, qui succombe, supportera les frais envers l'État, arrêtés à CHF 1'000.- (art. 428 al. 1 CPP et 13 al. 1 du Règlement fixant le tarif des frais en matière pénale, RTFMP ; E 4 10.03). * * * * *</w:t>
      </w:r>
    </w:p>
    <w:p>
      <w:r>
        <w:t>- 8/9 - P/13017/2024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