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ACPR/663/2024 vom 20. August 2024</w:t>
      </w:r>
    </w:p>
    <w:p>
      <w:r>
        <w:t>GE Cour de justice, 2024-08-20, FR</w:t>
      </w:r>
    </w:p>
    <w:p>
      <w:r>
        <w:rPr>
          <w:b/>
        </w:rPr>
        <w:t xml:space="preserve">Quelle: </w:t>
      </w:r>
      <w:r>
        <w:t>https://mcp.opencaselaw.ch/entscheid/ge_gerichte_ACPR_663_2024</w:t>
      </w:r>
    </w:p>
    <w:p>
      <w:r>
        <w:t>FR: GE_GERICHTE ACPR/663/2024 du 20 août 2024</w:t>
      </w:r>
    </w:p>
    <w:p>
      <w:r>
        <w:t>IT: GE_GERICHTE ACPR/663/2024 del 20 agosto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les charges qui, selon lui, ne seraient plus suffisantes ensuite de l'audience du 13 août dernier.</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on ne décèle pas que les charges pesant contre le prévenu se seraient amoindries depuis sa mise en détention provisoire ordonnée par le TMC le 7 août 2024, contre laquelle il n'a pas recouru. Les déclarations de K______ – dont la mémoire semble au demeurant quelque peu défaillante lorsqu'elle est interrogée sur des points sensibles tels le retrait des vidéos d'internet, le malaise dont lui aurait fait part C______ au téléphone peu avant son décès ainsi que le message échangé avec "M______" dans lequel elle paraissait admettre une part de responsabilité dans le décès de la précitée – et L______ à l'audience du 13 août 2024 doivent être appréciées, en l'état, avec retenue, compte tenu de leur rôle d'organisatrices du séminaire auquel C______ a participé. Qu'elles prétendent n'avoir jamais entendu le prévenu dire aux participants d'arrêter leurs médicaments n'apparaît ainsi pas significatif, ce d'autant que le prévenu semble avoir parlé en tête-à-tête avec la précitée. Selon en outre O______ – dont rien ne permet d'affirmer à ce stade qu'il serait atteint de démence ou sénilité –, le prévenu avait affirmé à son épouse qu'il allait la guérir. Il existe dès lors toujours des indices suffisants que le prévenu aurait</w:t>
      </w:r>
    </w:p>
    <w:p>
      <w:r>
        <w:t>- 9/13 - P/17324/2023 convaincu C______ qu'elle était désormais guérie et que, cette dernière le croyant, elle aurait cessé son traitement contre le diabète et ses injections d'insuline. Il appartiendra quoiqu'il en soit au juge du fond – et non au juge de la détention – d'examiner les éléments de preuve à charge et à décharge et, partant, l'absence éventuelle d'un lien de causalité entre les faits reprochés au prévenu et le décès de la victime. Le grief est dès lors infondé.</w:t>
      </w:r>
    </w:p>
    <w:p>
      <w:r>
        <w:rPr>
          <w:b/>
        </w:rPr>
        <w:t>E. 3</w:t>
      </w:r>
    </w:p>
    <w:p>
      <w:r>
        <w:t>Le recourant conteste le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l'occurrence, le Ministère public cherche encore à mettre la main sur la totalité des enregistrements vidéos de la session spirituelle du 30 juillet au 4 août 2023 à Genève – seule une partie ayant été mise en ligne sur internet – et à identifier l'ensemble des participants. Certaines participantes visibles sur les vidéos disponibles (cf. rapport de police du 15 juillet 2023) ne semblent du reste toujours pas avoir été identifiées. Le prévenu pourrait ainsi, s'il était remis en liberté, compromettre la recherche de la vérité en faisant disparaître des preuves ou en contactant des participants aux fins de les inciter à déposer en sa faveur. Si un risque de collusion avec les personnes qui seront entendues prochainement par le Ministère public apparaît improbable en ce qui concerne la Dre P______ et la fille de C______, et peut être qualifié de faible en ce qui concerne H______ – compte</w:t>
      </w:r>
    </w:p>
    <w:p>
      <w:r>
        <w:t>- 10/13 - P/17324/2023 tenu de ses déclarations à la police –, ce risque est plus concret en ce qui concerne I______, eu égard à ses déclarations plutôt défavorables au prévenu, faites à la police. Un risque de pression n'est ainsi pas exclu. Quant à Q______, qui serait une participante au séminaire, elle n'a jamais été entendue par la police. Il convient dès lors d'éviter que le recourant ne puisse également faire pression sur elle. Une interdiction signifiée au prévenu de contacter ces personnes n'apparaît pas suffisante au vu de l'enjeu pour lui.</w:t>
      </w:r>
    </w:p>
    <w:p>
      <w:r>
        <w:rPr>
          <w:b/>
        </w:rPr>
        <w:t>E. 4</w:t>
      </w:r>
    </w:p>
    <w:p>
      <w:r>
        <w:t>Le recourant conteste le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l'espèce, le prévenu est ressortissant indien domicilié en Inde, où il a toute sa famille. Comme relevé par le Ministère public, rien ne le retient en Suisse. Le risque qu'il retourne en Inde et ne se présente pas pour les futurs actes d'instruction, ainsi qu'à l'audience de jugement, est ainsi très concret. Dans ces conditions, peu importe que l'intéressé prétende n'avoir pas de visa Schengen valable. Il pourrait parfaitement quitter la Suisse par voie terrestre, le cas échéant, et faire établir un nouveau passeport. On ignore en outre quelles sont ses ressources financières, lesquelles pourraient lui permettre d'assurer sa fuite, en Inde ou dans un autre pays, étant relevé que, de par les sessions spirituelles qu'il dit dispenser à travers le monde, il est parfaitement plausible qu'il bénéficie d'un réseau de personnes pouvant le soutenir et l'aider en cas de besoin. Aucune des mesures de substitution, au sens de l'art. 237 al. 1 CPP, qu'il propose n'est à même de pallier cet important risque de fuite, tels le dépôt de ses documents d'identité, l'obligation de fournir une adresse en Suisse et l'obligation de se présenter régulièrement à un poste de police, au vu de ce qui précède, étant relevé que dites mesures ne seraient pas aptes à empêcher sa fuite par voie terrestre, mais permettraient seulement de la constater a posteriori.</w:t>
      </w:r>
    </w:p>
    <w:p>
      <w:r>
        <w:t>- 11/13 - P/17324/2023</w:t>
      </w:r>
    </w:p>
    <w:p>
      <w:r>
        <w:rPr>
          <w:b/>
        </w:rPr>
        <w:t>E. 5</w:t>
      </w:r>
    </w:p>
    <w:p>
      <w:r>
        <w:t>Les risques de collusion et de fuite étant réalisés, l'autorité de recours peut se dispenser d'examiner si le risque de réitération l'est également (arrêt du Tribunal fédéral 7B_188/2024 du 12 mars 2024 consid. 6.3.1).</w:t>
      </w:r>
    </w:p>
    <w:p>
      <w:r>
        <w:rPr>
          <w:b/>
        </w:rPr>
        <w:t>E. 6</w:t>
      </w:r>
    </w:p>
    <w:p>
      <w:r>
        <w:t>La durée de la détention provisoire subie à ce jour respecte le principe de la proportionnalité, eu égard à la gravité des infractions reprochées au recourant et à la peine qu'il encourt concrètement si les faits devaient être retenus par l'autorité de jugement.</w:t>
      </w:r>
    </w:p>
    <w:p>
      <w:r>
        <w:rPr>
          <w:b/>
        </w:rPr>
        <w:t>E. 7</w:t>
      </w:r>
    </w:p>
    <w:p>
      <w:r>
        <w:t>Le recours s'avère ainsi infondé et sera rejeté.</w:t>
      </w:r>
    </w:p>
    <w:p>
      <w:r>
        <w:rPr>
          <w:b/>
        </w:rPr>
        <w:t>E. 8</w:t>
      </w:r>
    </w:p>
    <w:p>
      <w:r>
        <w:t>Le recourant, qui succombe, supportera les frais envers l'État, qui comprendront un émolument de CHF 900.- (art. 428 al. 1 CPP et 13 al. 1 du Règlement fixant le tarif des frais en matière pénale, RTFMP; E 4 10.03). * * * * *</w:t>
      </w:r>
    </w:p>
    <w:p>
      <w:r>
        <w:t>- 12/13 - P/17324/2023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