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ACPR/662/2019 vom 12. Juli 2019</w:t>
      </w:r>
    </w:p>
    <w:p>
      <w:r>
        <w:t>GE Cour de justice, 2019-07-12, FR</w:t>
      </w:r>
    </w:p>
    <w:p>
      <w:r>
        <w:rPr>
          <w:b/>
        </w:rPr>
        <w:t xml:space="preserve">Quelle: </w:t>
      </w:r>
      <w:r>
        <w:t>https://mcp.opencaselaw.ch/entscheid/ge_gerichte_ACPR_662_2019</w:t>
      </w:r>
    </w:p>
    <w:p>
      <w:r>
        <w:t>FR: GE_GERICHTE ACPR/662/2019 du 12 juillet 2019</w:t>
      </w:r>
    </w:p>
    <w:p>
      <w:r>
        <w:t>IT: GE_GERICHTE ACPR/662/2019 del 12 luglio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- 4/7 - P/12860/2019</w:t>
      </w:r>
    </w:p>
    <w:p>
      <w:r>
        <w:rPr>
          <w:b/>
        </w:rPr>
        <w:t>E. 3</w:t>
      </w:r>
    </w:p>
    <w:p>
      <w:r>
        <w:t>Le recourant reproche au Ministère public de ne pas avoir retenu que les conditions d'octroi d'une défense d'office étaient en l'espèce réalisées. 3.1.1. 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3.1.2. Selon l'art. 132 al. 2 CPP, les intérêts du prévenu justifient une défense d'office notamment lorsque l'affaire n'est pas de peu de gravité et qu'elle présente des difficultés de fait ou de droit que le prévenu ne pourrait surmonter seul. 3.1.3. L'art. 132 al. 3 CPP précise que ne sont pas de peu de gravité, notamment, les cas dans lesquels le prévenu est passible d'une peine privative de liberté de plus de</w:t>
      </w:r>
    </w:p>
    <w:p>
      <w:r>
        <w:rPr>
          <w:b/>
        </w:rPr>
        <w:t>E. 3.2</w:t>
      </w:r>
    </w:p>
    <w:p>
      <w:r>
        <w:t>En l'espèce, l'indigence du recourant paraît plausible, puisqu'il se trouve en situation irrégulière en Suisse, sans domicile fixe ni revenu. Cette question peut cependant demeurer indécise, compte tenu de ce qui suit. Le Ministère public a condamné le recourant à une peine privative de liberté de 3 mois, sous déduction d'un jour de détention avant jugement, et à une amende de CHF 500.-, assortie d'une peine privative de liberté de substitution de 5 jours. Il a, de plus, renoncé à révoquer le sursis accordé le 10 mars 2019 et en a prolongé le délai d'épreuve d'un an. Ainsi, la peine infligée ne dépasse pas le seuil des 120 jours-amende à partir duquel il y a lieu de considérer que la peine n'est pas de peu de gravité. En outre, rien n'indique que le Tribunal de police aggraverait la peine, malgré les antécédents du recourant. À cela s'ajoute que l'examen des circonstances du cas d'espèce ne permet pas de retenir que la cause présente des difficultés particulières, du point de vue de l'établissement des faits ou des questions juridiques soulevées, que le recourant n'aurait pas été en mesure de résoudre seul. Les faits et dispositions légales applicables sont clairement circonscrits et sont d'une compréhension simple, quelle que soit la langue en laquelle le recourant s'exprime, lequel peut être assisté d'un interprète. Il a du reste parfaitement compris ce qui lui était reproché et a donné des explications suffisamment circonstanciées à la police. L'opposition à l'ordonnance pénale ne nécessitait pas non plus de motivation (art. 354 al. 2 CPP) et le recourant pourra aisément exposer au Tribunal de police avec ses</w:t>
      </w:r>
    </w:p>
    <w:p>
      <w:r>
        <w:t>- 6/7 - P/12860/2019 propres mots sa version des événements du 21 juin 2019 et les circonstances de son arrestation, le cas échéant avec l'aide d'un interprète en langue arabe. Enfin, la référence à la procédure parallèle est sans objet, cette dernière étant terminée. Il s'ensuit que les conditions cumulatives d'octroi d'une défense d'office, selon l'art. 132 CPP, ne sont pas réalisées.</w:t>
      </w:r>
    </w:p>
    <w:p>
      <w:r>
        <w:rPr>
          <w:b/>
        </w:rPr>
        <w:t>E. 4</w:t>
      </w:r>
    </w:p>
    <w:p>
      <w:r>
        <w:t>Justifiée, l'ordonnance querellée sera donc confirmée.</w:t>
      </w:r>
    </w:p>
    <w:p>
      <w:r>
        <w:rPr>
          <w:b/>
        </w:rPr>
        <w:t>E. 5</w:t>
      </w:r>
    </w:p>
    <w:p>
      <w:r>
        <w:t>La procédure de recours ne donne pas lieu à la perception de frais (art. 20 RAJ). * * * * *</w:t>
      </w:r>
    </w:p>
    <w:p>
      <w:r>
        <w:t>- 7/7 - P/12860/2019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