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ACPR/662/2018 vom 26. Oktober 2018</w:t>
      </w:r>
    </w:p>
    <w:p>
      <w:r>
        <w:t>GE Cour de justice, 2018-10-26, FR</w:t>
      </w:r>
    </w:p>
    <w:p>
      <w:r>
        <w:rPr>
          <w:b/>
        </w:rPr>
        <w:t xml:space="preserve">Quelle: </w:t>
      </w:r>
      <w:r>
        <w:t>https://mcp.opencaselaw.ch/entscheid/ge_gerichte_ACPR_662_2018</w:t>
      </w:r>
    </w:p>
    <w:p>
      <w:r>
        <w:t>FR: GE_GERICHTE ACPR/662/2018 du 26 octobre 2018</w:t>
      </w:r>
    </w:p>
    <w:p>
      <w:r>
        <w:t>IT: GE_GERICHTE ACPR/662/2018 del 26 ottobre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 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les soupçons sont suffisants, au vu des éléments figurant d'ores et déjà au dossier. Il ressort en effet de la chronologie des faits que D______ a confié à son amie, le 1er juin 2018, qu'un homme proche de sa famille lui avait fait du mal, ce que celle-ci avait compris comme étant des abus sexuels. Elles en avaient reparlé le 8 puis le 28 juin 2018. Bien que D______ ne soit pas entrée dans les détails, son amie avait compris qu'elle avait été pénétrée avec les doigts. Les messages qu'elles se sont échangé le 6 juillet 2018 témoignent que F______ avait compris qu'il s'agissait du parrain de D______ et que le précité la touchait, cette dernière ayant d'ailleurs précisé qu'il pouvait "faire pire", puisqu'il ne l'avait encore jamais pénétrée avec son</w:t>
      </w:r>
    </w:p>
    <w:p>
      <w:r>
        <w:t>- 10/14 - P/19398/2018 sexe. L'adolescente, qui se scarifiait, s'est ensuite confiée à sa professeur de français, le 23 septembre 2018, et, en raison de son état, a été amenée à l'hôpital par celle-ci et la conseillère sociale du collège deux jours plus tard. La lettre de dénonciation de la Direction générale de l'enseignement secondaire précise que l'adolescente avait dévoilé avoir subi de son parrain des embrassades, caresses et attouchements. On ne saurait donc suivre le recourant lorsqu'il affirme que les déclarations de D______ ne seraient pas suffisamment précises. Au contraire, en l'état de la procédure, qui ne fait que commencer, il ressort des premiers dévoilements de l'adolescente, à son amie et l'un de ses professeurs, que les faits concernaient des baisers, des caresses et des attouchements, de la part de son parrain. Ces faits ont été confirmés par l'adolescente lors de son audition EVIG qui, si elle ne figure pas encore dans le dossier sous forme retranscrite, est suffisamment résumée par les inspecteurs pour que l'on comprenne de quels gestes il s'est agi, sur quelle partie du corps, dans quelles circonstances, à quelle époque et à quel endroit en Suisse ou à l'étranger. À cet égard, on peut retenir, à ce stade de l'instruction, que les propos de l'adolescente n'ont pas varié entre son premier dévoilement et son audition. Ses propos sont précis et elle situe les comportements de son parrain à des moments ou lors d'événements qui ont réellement eu lieu, puisque ce dernier confirme le contexte tout en contestant les comportements qui lui sont prêtés. C'est en vain aussi que le recourant soulève, dans son recours, l'absence de mention de la situation personnelle de sa filleule et semble relever, dans ses déclarations à la police et devant le Ministère public, des problèmes d'ordre psychologique chez l'adolescente. Il ressort au contraire des messages que cette dernière a envoyés à son amie le 6 juillet 2018, qu'elle cherchait à trouver une solution, alors qu'elle se trouvait seule chez le prévenu – dont l'épouse s'était absentée –, où elle venait de subir, selon ses déclarations, l'abus sexuel le plus grave, était désemparée mais voulait lui parler pour le confronter à ses comportements et à sa souffrance. Il n'y a là, a priori, aucun indice d'affabulation. Ses déclarations paraissent d'autant plus crédibles, à ce stade, que D______ n'a pas exagéré dans ses révélations, a fait part d'attouchements qui paraissent en adéquation avec l'âge qu'elle avait à chaque étape et précisé que son parrain ne l'avait pas pénétrée avec son sexe, alors qu'à suivre le raisonnement de ce dernier, si l'adolescente avait été à la recherche d'un statut de victime pour exister ou se valoriser, il aurait plutôt été dans son intérêt d'alléguer des actes plus graves. L'autre hypothèse du prévenu, selon laquelle elle aurait été victime d'abus par une autre personne et reporterait sur lui les accusations, ne trouve aucun fondement dans le dossier. De même, on ne voit pas en quoi D______ aurait été sous l'influence de son amie F______, alors que celle-ci n'a eu de cesse de l'inciter à parler à ses parents, se heurtant à un refus catégorique. L'épouse du prévenu a retrouvé dans une de ses vestes un texte sur les abus sexuels que D______ paraît avoir mis là lors de son séjour de juillet 2018, ce que l'on peut également voir comme un moyen d'attirer l'attention sur les faits qu'elle essayait de dévoiler.</w:t>
      </w:r>
    </w:p>
    <w:p>
      <w:r>
        <w:t>- 11/14 - P/19398/2018 Les déclarations de la mère de D______ sont également probantes, puisqu'elle explique avoir trouvé, le jour où sa fille avait pris des médicaments, dans le journal intime de celle-ci, une lettre qu'elle avait adressée à ses parents dans laquelle elle disait que c'était A______ qui l'avait "tuée", que ses parents n'y étaient pour rien et qu'il fallait écouter les enregistrements. On constate ainsi une gradation de la souffrance de l'adolescente, notamment après la conversation qu'elle a eue avec le prévenu le 6 juillet 2018, telle qu'elle est reportée dans les messages envoyés à son amie ce jour-là (à ce stade, il ne sera pas tenu compte des enregistrements puisque leur maintien ou non au dossier font l'objet d'un recours actuellement pendant), dans lesquels elle déclarait se sentir encore moins bien après avoir confronté son parrain aux faits, puisque ce dernier, bien que s'étant excusé, "s'en foutait totalement". Les faits précités fondent dès lors, à ce stade, des soupçons concrets et sérieux d'abus sexuels commis par le prévenu au préjudice de sa filleule.</w:t>
      </w:r>
    </w:p>
    <w:p>
      <w:r>
        <w:rPr>
          <w:b/>
        </w:rPr>
        <w:t>E. 3</w:t>
      </w:r>
    </w:p>
    <w:p>
      <w:r>
        <w:t>Le recourant conteste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ce risque est concret et important. Immédiatement après avoir été informé par les époux I______/J______ et par un message du père de D______, que cette dernière l'accusait d'attouchements, il a non seulement envoyé aux parents de D______ des messages pour contester l'avoir violée, mais a expliqué qu'il y avait une différence entre "câlins" et attouchements. Sa femme est par ailleurs intervenue auprès des époux G______/H______ pour qu'ils retirent la plainte. Il existe donc un risque que, libéré, et ayant désormais connaissance des charges qui pèsent contre lui, des faits concrets qui lui sont reprochés et du contenu du dossier, le prévenu ne cherche, avant la confrontation, directement ou par l'entremise de tiers, à exercer des pressions sur sa filleule – qui est sortie de clinique – qu'il décrit comme influençable et qui est incontestablement fragile à l'heure actuelle. Il existe aussi un risque qu'il intercède auprès des parents de D______, ou de ses frère et sœur, voire des amis</w:t>
      </w:r>
    </w:p>
    <w:p>
      <w:r>
        <w:t>- 12/14 - P/19398/2018 communs devant encore être entendus, pour que la plainte soit retirée ou leurs déclarations modifiées en sa faveur. Ainsi, avant qu'une confrontation n'ait pu avoir lieu entre le prévenu et sa filleule, ainsi qu'avec les parents de celle-ci, il existe un fort risque de collusion. Partant, l'ordonnance querellée est fondée sur ce point également.</w:t>
      </w:r>
    </w:p>
    <w:p>
      <w:r>
        <w:rPr>
          <w:b/>
        </w:rPr>
        <w:t>E. 4</w:t>
      </w:r>
    </w:p>
    <w:p>
      <w:r>
        <w:t>Au vu de la réalisation de l'un des risques mentionnés à l'art. 221 CPP, point n'est besoin d'examiner l'existence ou non d'un risque de fuite.</w:t>
      </w:r>
    </w:p>
    <w:p>
      <w:r>
        <w:rPr>
          <w:b/>
        </w:rPr>
        <w:t>E. 5</w:t>
      </w:r>
    </w:p>
    <w:p>
      <w:r>
        <w:t>C'est en vain que le recourant demande qu'une interdiction de contact, avec les protagonistes et les témoins de la procédure, soit prononcée, à titre de mesure de substitution au sens de l'art. 237 al. 1 CPP. Non seulement cette mesure n'empêcherait nullement, concrètement, le prévenu de prendre contact avec ces personnes, mais elle serait impropre à l'empêcher de nuire au bon déroulement de l'instruction. La seule façon, en l'état, de se prémunir sérieusement contre ce risque est de placer le recourant en détention provisoire.</w:t>
      </w:r>
    </w:p>
    <w:p>
      <w:r>
        <w:rPr>
          <w:b/>
        </w:rPr>
        <w:t>E. 6</w:t>
      </w:r>
    </w:p>
    <w:p>
      <w:r>
        <w:t>Compte tenu des charges qui pèsent sur le recourant, la détention provisoire, ordonnée en l'état pour un mois, ne viole pas le principe de la proportionnalité, au sens des art. 197 al. 1 et 212 al. 3 CPP, si les soupçons du Ministère public venaient à être confirmés.</w:t>
      </w:r>
    </w:p>
    <w:p>
      <w:r>
        <w:rPr>
          <w:b/>
        </w:rPr>
        <w:t>E. 7</w:t>
      </w:r>
    </w:p>
    <w:p>
      <w:r>
        <w:t>Le recourant invoque des problèmes de santé, expliquant que la détention serait de nature à causer une atteinte à son intégrité. Il n'étaye toutefois cette argumentation par aucun document médical confirmant que la détention serait incompatible avec son état de santé. Au demeurant, le prévenu n'allègue ni ne rend vraisemblable qu'il serait privé de sa médication. Le contrôle, par un chirurgien, de son épaule et de sa malléole pourrait avoir lieu, si nécessaire, par un médecin B______ ou aux hôpitaux universitaires de Genève.</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 * * * * *</w:t>
      </w:r>
    </w:p>
    <w:p>
      <w:r>
        <w:t>- 13/14 - P/19398/2018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