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ACPR/661/2020 vom 12. Mai 2020</w:t>
      </w:r>
    </w:p>
    <w:p>
      <w:r>
        <w:t>GE Cour de justice, 2020-05-12, FR</w:t>
      </w:r>
    </w:p>
    <w:p>
      <w:r>
        <w:rPr>
          <w:b/>
        </w:rPr>
        <w:t xml:space="preserve">Quelle: </w:t>
      </w:r>
      <w:r>
        <w:t>https://mcp.opencaselaw.ch/entscheid/ge_gerichte_ACPR_661_2020</w:t>
      </w:r>
    </w:p>
    <w:p>
      <w:r>
        <w:t>FR: GE_GERICHTE ACPR/661/2020 du 12 mai 2020</w:t>
      </w:r>
    </w:p>
    <w:p>
      <w:r>
        <w:t>IT: GE_GERICHTE ACPR/661/2020 del 12 maggio 2020</w:t>
      </w:r>
    </w:p>
    <w:p>
      <w:pPr>
        <w:pStyle w:val="Heading2"/>
      </w:pPr>
      <w:r>
        <w:t>Erwägungen</w:t>
      </w:r>
    </w:p>
    <w:p>
      <w:r>
        <w:rPr>
          <w:b/>
        </w:rPr>
        <w:t>E. 1</w:t>
      </w:r>
    </w:p>
    <w:p>
      <w:r>
        <w:t>Le recours est recevable pour avoir été déposé selon la forme et dans le délai prescrits (art. 384 let. b, 385 al. 1 et 396 al. 1 CPP), concerner une ordonnance de classement sujette à recours auprès de la Chambre de céans (art.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considérants qui suivent.</w:t>
      </w:r>
    </w:p>
    <w:p>
      <w:r>
        <w:rPr>
          <w:b/>
        </w:rPr>
        <w:t>E. 3</w:t>
      </w:r>
    </w:p>
    <w:p>
      <w:r>
        <w:t>Il importe peu que la lettre du recourant du 28 octobre 2019 ne soit apparemment pas dans la procédure. En tant qu'elle s'oppose implicitement au classement annoncé et demande une nouvelle audition d'une personne mise en cause, le recourant pouvait sans restriction reprendre les mêmes moyens à l'occasion du présent recours – et n'a d'ailleurs pas manqué de le faire. Par ailleurs, le pouvoir d'examen de la Chambre de céans est complet, y compris pour la recevabilité de pièces par hypothèse nouvelles.</w:t>
      </w:r>
    </w:p>
    <w:p>
      <w:r>
        <w:rPr>
          <w:b/>
        </w:rPr>
        <w:t>E. 4</w:t>
      </w:r>
    </w:p>
    <w:p>
      <w:r>
        <w:t>Le recourant s'affirme victime d'une escroquerie.</w:t>
      </w:r>
    </w:p>
    <w:p>
      <w:r>
        <w:t>- 5/10 - P/12121/2010</w:t>
      </w:r>
    </w:p>
    <w:p>
      <w:r>
        <w:rPr>
          <w:b/>
        </w:rPr>
        <w:t>E. 4.1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 212).</w:t>
      </w:r>
    </w:p>
    <w:p>
      <w:r>
        <w:rPr>
          <w:b/>
        </w:rPr>
        <w:t>E. 4.2</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conforté la dupe dans son erreur; cette hypothèse se distingue des deux précédentes en ce sens que l'erreur est préexistante (arrêts du Tribunal fédéral 6B_817/2018 du 23 octobre 2018 consid. 2.3.1; 6B_446/2018 du 17 juillet 2018 consid. 2.1; 6B_136/2017 du 17 novembre 2017 consid. 3.1; 6S.18/2007 du 2 mars 2007 consid. 2.1.1. et 6S.380/2001 du 13 novembre 2001 consid. 2b/aa non publié in ATF 128 IV 255 et les références). L'erreur de la dupe provoquée par la tromperie astucieuse doit l'avoir déterminée à effectuer des actes préjudiciables à ses intérêts pécuniaires ou à ceux d'un tiers. Le dommage doit découler directement – c'est-à-dire sans autre comportement délictueux de l'auteur – de l'acte accompli par la dupe sous l'effet de l'erreur (ATF 126 IV 113 consid. 3a p. 116 ss). Il doit donc exister un rapport de causalité ou de motivation entre l'erreur et la disposition du patrimoine (M. DUPUIS / L. MOREILLON / C. PIGUET / S. BERGER / M. MAZOU / V. RODIGARI (éds), Code pénal - Petit commentaire, 2e éd., Bâle 2017, n. 32 ad art. 146 CP).</w:t>
      </w:r>
    </w:p>
    <w:p>
      <w:r>
        <w:rPr>
          <w:b/>
        </w:rPr>
        <w:t>E. 4.3</w:t>
      </w:r>
    </w:p>
    <w:p>
      <w:r>
        <w:t>En l'espèce, les accords transactionnels évoqués par A______ ont consisté dans la cession de D______ par lui-même, en juin 2009, suivie de la garantie donnée par C______ pour toute prétention de E______ contre lui, en juillet 2009 (cf. plainte ch.</w:t>
      </w:r>
    </w:p>
    <w:p>
      <w:r>
        <w:t>- 6/10 - P/12121/2010 18); le recourant y voit une escroquerie, dans la mesure où il en attendait que C______ lui remboursât la commission qu'il versera à E______ moins d'un an plus tard. Il fait valoir que la liquidation de C______ avait réduit cette expectative à néant. Ce faisant, le recourant perd de vue que l'astuce doit préexister à l'acte de disposition préjudiciable à ses intérêts patrimoniaux. Or, l'entrée en liquidation de C______ est postérieure – de plus de 10 ans – à la garantie du 27 juillet 2009. Par ailleurs, le texte de cette garantie ne dit mot d'une promesse ou d'un engagement de non-liquidation (volontaire) de la société après cette date. Le recourant, qui se décrit comme ancien banquier, président de banque et actionnaire de référence d'un établissement de la place, ne pouvait manquer – en homme d'affaires averti qu'il ne conteste pas avoir été, à l'époque – de se prémunir contre toute éventuelle incertitude sur la pérennité de C______, notamment contre la crainte d'une entrée en liquidation volontaire qui ne le protégerait plus durablement contre des prétentions de E______. C'est d'autant plus vrai que l'engagement de C______ de le relever de toute prétention de ce genre ne comporte aucune limitation de durée. L'allégation d'un capital social de CHF 60'000'000.- n'a aucune signification en elle-même, ni non plus le statut de filiale de la holding, présentée comme d'envergure. Le bilan que le recourant a produit avec sa plainte est postérieur à la signature de la garantie, puisqu'il date de novembre 2009 et a été signé le 12 janvier 2010. On ne voit pas ce qui l'empêchait de se faire communiquer préalablement à la signature des accords "transactionnels" les états financiers de C______ pour le premier semestre 2009, ne serait-ce que pour vérifier la nature et la composition des actifs et l'état de l'endettement. Un homme d'affaires avisé ne se satisfait pas d'avoir reçu un mois plus tôt CHF 12'500'000.- pour prix de vente de D______ sans savoir ce que la société acquéreuse conservait comme liquidités, voire sans s'intéresser, en amont, à la façon dont elle avait financé cet achat.</w:t>
      </w:r>
    </w:p>
    <w:p>
      <w:r>
        <w:rPr>
          <w:b/>
        </w:rPr>
        <w:t>E. 4.4</w:t>
      </w:r>
    </w:p>
    <w:p>
      <w:r>
        <w:t>Le recourant semble raisonner comme si le document du 27 juillet 2009 devait le mettre à l'abri de toute revendication de E______. La signature apposée sur ce document par B______ (mais non par H______) au nom de C______ ne lui a cependant pas directement causé le préjudice de CHF 1'000'000.- dont il se plaint. C'est, au contraire, lui-même qui a accepté devant le juge civil d'indemniser E______ d'un tel montant et qui s'est exécuté quasiment dans la foulée. La défaillance de C______ en raison de sa liquidation (que le recourant affirmait pourtant avoir empêchée, dans sa plainte) n'a pas directement causé de "dommage" au recourant. Celui-ci a préféré indemniser séparément E______, sans en appeler à la garantie dont il se savait pourtant bénéficier, et qu'il affirme avoir conclue dans cet unique but. Qu'il ait accepté d'indemniser en étant persuadé que C______ le rembourserait ensuite ne peut être rattaché à la commission d'une escroquerie. Sa situation ne serait pas différente si la société, à la supposer toujours existante, avait refusé d'exécuter l'accord.</w:t>
      </w:r>
    </w:p>
    <w:p>
      <w:r>
        <w:t>- 7/10 - P/12121/2010 On ne voit pas ce qu'y changeraient les questions que le recourant souhaiterait poser à B______, étant observé que les deux prénommés étaient simultanément présents à l'audience d'instruction du 20 septembre 2018 et que le droit de poser ces questions ne paraît pas y avoir été entravé. Quant à la mise en cause de G______, le recourant l'a formulée le 6 septembre 2018 dans la perspective explicite de l'audience susmentionnée, mais sans la rattacher en rien aux conditions dans lesquelles fut donnée la garantie de C______. On chercherait en vain dans le dossier un indice de la participation de l'intéressé. Il n'est signataire d'aucune des pièces "transactionnelles" de 2009. À l'audience du 20 septembre 2018, aucune question ne lui a été posée par quiconque à ce sujet. Il n'est pas visé non plus par les réquisitions de preuve du recourant, du 28 octobre 2019, et l'on ne saurait faire grief au Ministère public de ne s'être pas prononcé sur son rôle éventuel dans les faits visés par la plainte du 22 juillet 2010. Les soupçons sont donc insuffisants. Mutatis mutandis, les mêmes constatations s'imposent pour F______. Le grief d'escroquerie est, par conséquent, rejeté.</w:t>
      </w:r>
    </w:p>
    <w:p>
      <w:r>
        <w:rPr>
          <w:b/>
        </w:rPr>
        <w:t>E. 5</w:t>
      </w:r>
    </w:p>
    <w:p>
      <w:r>
        <w:t>Le recourant estime que l'entrée en liquidation de C______ constituait un acte de gestion déloyale à son préjudice. Or, il ne fait pas la démonstration que B______ occupait envers lui une position de gérant, étant, par exemple, lié à lui par un mandat de gestion.</w:t>
      </w:r>
    </w:p>
    <w:p>
      <w:r>
        <w:rPr>
          <w:b/>
        </w:rPr>
        <w:t>E. 5.1</w:t>
      </w:r>
    </w:p>
    <w:p>
      <w:r>
        <w:t>Les éventuels devoirs de l'intéressé s'examinent au regard des dispositions légales et contractuelles applicables, des statuts, règlements internes, décisions de l'assemblée générale, buts de la société et usages spécifiques de la branche (arrêts du Tribunal fédéral 6B_233/2013 du 3 juin 2013 consid. 3.2 et 6B_446/2010 du 14 octobre 2010, consid. 8.4.1).</w:t>
      </w:r>
    </w:p>
    <w:p>
      <w:r>
        <w:rPr>
          <w:b/>
        </w:rPr>
        <w:t>E. 5.2</w:t>
      </w:r>
    </w:p>
    <w:p>
      <w:r>
        <w:t>En l'espèce, par sa signature du texte du 27 juillet 2009, B______ prenait un engagement de garantie au nom de la société qu'il représentait, certes en faveur du recourant personnellement, mais on ne voit pas en quoi cet engagement entraînait aussi l'obligation de veiller aux intérêts pécuniaires de ce dernier, au sens de l'art. 158 ch. 1 CP. B______ n'était pas chargé du patrimoine du recourant ni d'aucun acte de gestion. Enfin, ce n'est pas, comme on l'a vu, l'entrée en liquidation de C______ qui a causé un "dommage" directement au recourant, mais la prétention de E______, que celui-ci a accepté d'assumer partiellement.</w:t>
      </w:r>
    </w:p>
    <w:p>
      <w:r>
        <w:rPr>
          <w:b/>
        </w:rPr>
        <w:t>E. 6</w:t>
      </w:r>
    </w:p>
    <w:p>
      <w:r>
        <w:t>Le recours s'avère intégralement infondé.</w:t>
      </w:r>
    </w:p>
    <w:p>
      <w:r>
        <w:t>- 8/10 - P/12121/2010</w:t>
      </w:r>
    </w:p>
    <w:p>
      <w:r>
        <w:rPr>
          <w:b/>
        </w:rPr>
        <w:t>E. 7</w:t>
      </w:r>
    </w:p>
    <w:p>
      <w:r>
        <w:t>Le recourant, qui succombe dans toutes ses conclusions, supportera les frais envers l'État, qui seront fixés en totalité à CHF 1'500.- (art. 428 al. 1 CPP et 13 al. 1 du Règlement fixant le tarif des frais en matière pénale, RTFMP; E 4 10.03), y compris un émolument de décision. * * * * *</w:t>
      </w:r>
    </w:p>
    <w:p>
      <w:r>
        <w:t>- 9/10 - P/12121/2010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