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ACPR/661/2018 vom 12. Juli 2018</w:t>
      </w:r>
    </w:p>
    <w:p>
      <w:r>
        <w:t>GE Cour de justice, 2018-07-12, FR</w:t>
      </w:r>
    </w:p>
    <w:p>
      <w:r>
        <w:rPr>
          <w:b/>
        </w:rPr>
        <w:t xml:space="preserve">Quelle: </w:t>
      </w:r>
      <w:r>
        <w:t>https://mcp.opencaselaw.ch/entscheid/ge_gerichte_ACPR_661_2018</w:t>
      </w:r>
    </w:p>
    <w:p>
      <w:r>
        <w:t>FR: GE_GERICHTE ACPR/661/2018 du 12 juillet 2018</w:t>
      </w:r>
    </w:p>
    <w:p>
      <w:r>
        <w:t>IT: GE_GERICHTE ACPR/661/2018 del 12 luglio 2018</w:t>
      </w:r>
    </w:p>
    <w:p>
      <w:pPr>
        <w:pStyle w:val="Heading2"/>
      </w:pPr>
      <w:r>
        <w:t>Erwägungen</w:t>
      </w:r>
    </w:p>
    <w:p>
      <w:r>
        <w:rPr>
          <w:b/>
        </w:rPr>
        <w:t>E. 1.1</w:t>
      </w:r>
    </w:p>
    <w:p>
      <w:r>
        <w:t>Le recours est recevable pour avoir été déposé selon la forme et dans le délai prescrits – la décision critiquée ayant été communiquée par pli simple (art. 385 al. 1 et 396 al. 1 CPP) et concerner une ordonnance sujette à recours auprès de la Chambre de céans (art. 393 al. 1 let. a CPP).</w:t>
      </w:r>
    </w:p>
    <w:p>
      <w:r>
        <w:rPr>
          <w:b/>
        </w:rPr>
        <w:t>E. 1.2</w:t>
      </w:r>
    </w:p>
    <w:p>
      <w:r>
        <w:t>Bien que le véhicule automobile litigieux ait été acquis par le compagnon de A______, seul, la carte grise est au nom de cette dernière, de sorte qu'on peut admettre que la plaignante est à tout le moins copropriétaire dudit véhicule. Partant, elle a un intérêt juridiquement protégé à la modification ou à l'annulation de la décision querellée (art. 104 al. 1 let. b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al. 1 let. a CPP, le ministère public rend immédiatement une ordonnance de non-entrée en matière s'il ressort notamment de la dénonciation que les éléments constitutifs de l'infraction ne sont manifestement pas réunis. Cette disposition doit être appliquée conformément à l'adage in dubio pro duriore, lequel découle du principe de la légalité (art. 5 al. 1 Cst. et 2 al. 2 CPP en relation avec les art. 19 al. 1 et 324 CPP; ATF 138 IV 86 consid. 4.2). Une non-entrée en matière peut</w:t>
      </w:r>
    </w:p>
    <w:p>
      <w:r>
        <w:t>- 4/7 - P/12307/2018 également être justifiée lorsque la preuve d'une infraction, soit de la réalisation de ses éléments constitutifs, n'est pas apportée par les pièces dont dispose le ministère public et qu'une enquête, sous une forme ou sous une autre, ne serait pas en mesure d'apporter des éléments susceptibles de renforcer les charges contre la personne visée (A. KUHN / Y. JEANNERET (éds), Commentaire romand : Code de procédure pénale suisse,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w:t>
      </w:r>
    </w:p>
    <w:p>
      <w:r>
        <w:rPr>
          <w:b/>
        </w:rPr>
        <w:t>E. 3.2</w:t>
      </w:r>
    </w:p>
    <w:p>
      <w:r>
        <w:t>Selon l'art. 138 ch. 1 al. 1 CP, commet un abus de confiance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À titre d'exemple, il y a déjà appropriation dès lors que l'auteur offre à la vente la chose confiée et non seulement lorsque la chose est effectivement vendue (M. NIGGLI / H. WIPRÄCHTIGER, Basler Kommentar Strafrecht II : Art. 111-392 StGB, 3e éd., Bâle 2013, n. 104 ad art. 138).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w:t>
      </w:r>
    </w:p>
    <w:p>
      <w:r>
        <w:t>- 5/7 - P/12307/2018</w:t>
      </w:r>
    </w:p>
    <w:p>
      <w:r>
        <w:rPr>
          <w:b/>
        </w:rPr>
        <w:t>E. 3.3</w:t>
      </w:r>
    </w:p>
    <w:p>
      <w:r>
        <w:t>En l'espèce, la recourante prétend avoir confié, après le 30 mars 2018, le véhicule de marque C______, de couleur noire, n° de châssis 1______, immatriculé à son nom, à sa sœur pour qu'elle le conserve temporairement, ce que cette dernière conteste. Selon elle, la plaignante lui avait remis le véhicule, ses deux jeux de clés ainsi que la carte grise aux fins qu'elle le revende, ce qu'elle avait fait. La recourante prétend que des membres de sa famille étaient présents lorsque sa sœur lui avait proposé de vendre le véhicule et qu'elle avait refusé, mais ne conclut pas formellement à leur audition. Même si tel était le cas, force est de constater que ces témoignages, en tant qu'ils n'émaneraient pas de personnes neutres, seraient impropres à établir la vérité. Il résulte ainsi de ce qui précède que la version de la recourante n'apparaît pas plus crédible que celle de la mise en cause. Les éléments constitutifs d'un abus de confiance n'étant pas réunis, l'ordonnance de non-entrée en matière est justifiée et sera dès lors confirmée. 4. Vu l'issue du litige, la mise sous séquestre du véhicule litigieux – indépendamment du fait qu'il n'appartient pas à la Chambre de céans d'y procéder – n'a pas lieu d'être. 5. La recourante, qui succombe, supportera les frais envers l'État, qui comprendront un émolument de CHF 900.- (art. 428 al. 1 CPP et 13 al. 1 du Règlement fixant le tarif des frais en matière pénale, RTFMP ; E 4 10.03). * * * * *</w:t>
      </w:r>
    </w:p>
    <w:p>
      <w:r>
        <w:t>- 6/7 - P/12307/2018</w:t>
      </w:r>
    </w:p>
    <w:p>
      <w:r>
        <w:rPr>
          <w:b/>
        </w:rPr>
        <w:t>E. 6</w:t>
      </w:r>
    </w:p>
    <w:p>
      <w:r>
        <w:t>décembre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