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ACPR/660/2023 vom 20. Juli 2023</w:t>
      </w:r>
    </w:p>
    <w:p>
      <w:r>
        <w:t>GE Cour de justice, 2023-07-20, FR</w:t>
      </w:r>
    </w:p>
    <w:p>
      <w:r>
        <w:rPr>
          <w:b/>
        </w:rPr>
        <w:t xml:space="preserve">Quelle: </w:t>
      </w:r>
      <w:r>
        <w:t>https://mcp.opencaselaw.ch/entscheid/ge_gerichte_ACPR_660_2023</w:t>
      </w:r>
    </w:p>
    <w:p>
      <w:r>
        <w:t>FR: GE_GERICHTE ACPR/660/2023 du 20 juillet 2023</w:t>
      </w:r>
    </w:p>
    <w:p>
      <w:r>
        <w:t>IT: GE_GERICHTE ACPR/660/2023 del 20 luglio 2023</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w:t>
      </w:r>
    </w:p>
    <w:p>
      <w:r>
        <w:rPr>
          <w:b/>
        </w:rPr>
        <w:t>E. 1.3</w:t>
      </w:r>
    </w:p>
    <w:p>
      <w:r>
        <w:t>En l'espèce, le recours est recevable pour être dirigé contre une décision rendue par le SAPEM (art. 5 al. 2 let. e et 40 al. 1 LaCP ; art. 11 al. 1 let. e Règlement sur l'exécution des peines et mesures du 19 mars 2014 [REPM ; RS E 4 55.05]), avoir été déposé dans la forme et le délai prescrits (art. 385 al. 1 et 396 al 1</w:t>
      </w:r>
    </w:p>
    <w:p>
      <w:r>
        <w:t>- 7/11 - PS/80/2023 CPP) et émaner du prévenu visé par la décision déférée, lequel a un intérêt juridiquement protégé à l'annulation de la décision entreprise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bien le comprendre, le recourant estime que les conditions d'une mesure institutionnelle en milieu fermé ne sont pas réunies.</w:t>
      </w:r>
    </w:p>
    <w:p>
      <w:r>
        <w:rPr>
          <w:b/>
        </w:rPr>
        <w:t>E. 3.1</w:t>
      </w:r>
    </w:p>
    <w:p>
      <w:r>
        <w:t>p. 51).</w:t>
      </w:r>
    </w:p>
    <w:p>
      <w:r>
        <w:rPr>
          <w:b/>
        </w:rPr>
        <w:t>E. 3.2</w:t>
      </w:r>
    </w:p>
    <w:p>
      <w:r>
        <w:t>Le principe de la proportionnalité de la mesure vaut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6B_517/2013 du 19 juillet 2013 consid. 1.4.3).</w:t>
      </w:r>
    </w:p>
    <w:p>
      <w:r>
        <w:rPr>
          <w:b/>
        </w:rPr>
        <w:t>E. 3.3</w:t>
      </w:r>
    </w:p>
    <w:p>
      <w:r>
        <w:t>En l'espèce, l'expert a diagnostiqué, chez le recourant, un trouble schizoaffectif, une dépendance au cannabis (rémission complète précoce) et aux opioïdes (rémission complète précoce) ainsi que d'un mode de consommation nocif d'alcool. Le risque de récidive violente est élevé; les facteurs de risque présentés par le recourant sont liés notamment à sa pathologie psychiatrique, ses conditions de vie et ses consommations de substances psychoactives. L'expert a proposé un traitement institutionnel, dans un premier temps en milieu fermé. Certes, le recourant a fait certains progrès. Il se rend régulièrement aux entretiens médicaux et se montre preneur de la prise en charge proposée. Les médecins ont constaté que le lien thérapeutique était de bonne qualité et en constante amélioration. Nonobstant cette évolution favorable et le fait que le recourant paraisse stabilisé, il est relevé que l'équilibre reste fragile. Les médecins ont notamment objectivé une importante intolérance à la frustration dans son rapport à l'autorité, raison pour laquelle il avait été sanctionné. En outre, le recourant estime lui-même ne pas pouvoir rester abstinent au cannabis lors d'un passage en milieu ouvert. Il est aussi opposé à un traitement dépôt, alors que, selon l'expert, celui-ci permettrait de limiter le risque de nouvelle décompensation psychotique. Enfin, son engagement au sein de l'atelier est fluctuent. Or, à teneur de l'expertise, ces différents éléments représentent des facteurs majeurs de récidive. Si son état clinique est désormais plus stable et sa collaboration meilleure, l'état psychique du recourant demeure fragile. Il apparait dès lors que cette amélioration très récente doit être consolidée sur le long terme. Ainsi, l'exécution de la mesure thérapeutique en milieu fermé apparait nécessaire, à tout le moins afin de mettre en place le traitement antipsychotique, respectivement d'évaluer la compliance du recourant à celui-ci, et de stabiliser durablement son état psychique. Ce placement en milieu fermé permettra aussi au recourant de travailler les aspects de socialisation et acquérir des stratégies en vue du maintien de son abstinence lors d'un passage en milieu ouvert. Le recourant ne peut être suivi lorsqu'il prétend que la décision attaquée violerait le principe de la proportionnalité. Si, à terme, il est prévu, conformément aux conclusions de l'expert et du SAPEM, de le placer en milieu ouvert, en l'état, en</w:t>
      </w:r>
    </w:p>
    <w:p>
      <w:r>
        <w:t>- 9/11 - PS/80/2023 l'absence d'un travail visant spécifiquement sa psychopathologie, un tel passage paraît, sous l'angle de la récidive, prématuré, étant relevé que le bien juridique protégé est, ici, l'intégrité corporelle, de sorte que les exigences sont plus élevées. D'autre part, les éléments sur lesquels la décision querellée repose sont récents, l'expertise psychiatrique datant d'environ six mois – février 2023 – et les autres rapports de mai 2023. En conséquence, la deuxième hypothèse de l'art. 59 al. 3 1ère phrase CP – le risque de récidive – est réalisée. Au regard de ce qui précède, point n'est besoin d'examiner si le recourant présente aussi un risque de fuite. Enfin, il n'appartient pas à la Chambre de céans de déterminer le lieu de placement, dès lors que le choix du lieu d'exécution constitue une modalité d'exécution de la mesure, qui relève de la seule compétence de l'autorité d'exécution (cf. arrêt du Tribunal fédéral 6B_705/2015 du 22 septembre 2015 consid. 1.4.1, avec référence à l'arrêt 6B_629/2009 du 21 décembre 2009 consid. 1.2.3 et à l'ATF 130 IV 49 consid.</w:t>
      </w:r>
    </w:p>
    <w:p>
      <w:r>
        <w:rPr>
          <w:b/>
        </w:rPr>
        <w:t>E. 4</w:t>
      </w:r>
    </w:p>
    <w:p>
      <w:r>
        <w:t>Justifiée, la décision querellée sera donc confirmée.</w:t>
      </w:r>
    </w:p>
    <w:p>
      <w:r>
        <w:rPr>
          <w:b/>
        </w:rPr>
        <w:t>E. 5</w:t>
      </w:r>
    </w:p>
    <w:p>
      <w:r>
        <w:t>Le recourant, qui succombe, supportera les frais envers l'État, fixés en totalité à CHF 600.- (art. 428 al. 1 CPP et 13 al. 1 du Règlement fixant le tarif des frais en matière pénale, RTFMP ; E 4 10.03). * * * * *</w:t>
      </w:r>
    </w:p>
    <w:p>
      <w:r>
        <w:t>- 10/11 - PS/80/2023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