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ACPR/65/2022 vom 30. August 2021</w:t>
      </w:r>
    </w:p>
    <w:p>
      <w:r>
        <w:t>GE Cour de justice, 2021-08-30, FR</w:t>
      </w:r>
    </w:p>
    <w:p>
      <w:r>
        <w:rPr>
          <w:b/>
        </w:rPr>
        <w:t xml:space="preserve">Quelle: </w:t>
      </w:r>
      <w:r>
        <w:t>https://mcp.opencaselaw.ch/entscheid/ge_gerichte_ACPR_65_2022</w:t>
      </w:r>
    </w:p>
    <w:p>
      <w:r>
        <w:t>FR: GE_GERICHTE ACPR/65/2022 du 30 août 2021</w:t>
      </w:r>
    </w:p>
    <w:p>
      <w:r>
        <w:t>IT: GE_GERICHTE ACPR/65/2022 del 30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 maintien de certains séquestres en tant qu'il ne dispose pas des ressources lui permettant d'assumer les dépenses nécessaires à ses besoins essentiels et à ceux de sa famille, qu’il évalue à CHF 20258.- par mois. 2.1.1. 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w:t>
      </w:r>
    </w:p>
    <w:p>
      <w:r>
        <w:t>- 11/14 - P/18252/2019 L'intégralité des fonds doit demeurer à disposition de la justice aussi longtemps qu'il existe un doute sur la part de ceux-ci qui pourrait provenir d'une activité criminelle (arrêt du Tribunal fédéral 1B_414/2019 du 13 janvier 2020 consid. 2.1 et les arrêts cités). Les probabilités d'une confiscation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 arrêt du Tribunal fédéral 1B_116/2021 du 5 mai 2021 consid. 5.1 et les arrêts cités). 2.1.2. L'art. 268 al. 1 CPP permet le séquestre du patrimoine d'un prévenu dans la mesure qui paraît nécessaire pour couvrir les frais de procédure et les indemnités à verser (let. a), les peines pécuniaires et les amendes (let. b). Le séquestre en couverture des frais impose de prendre en compte le revenu et la fortune du prévenu (art. 268 al. 2 CPP) et d'exclure du séquestre les valeurs insaisissables selon les art. 92 - 94 de la loi fédérale du 11 avril 1889 sur la poursuite pour dettes et la faillite (LP ou loi sur la poursuite; RS 281.1; art. 268 al. 3 CPP).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2.1.3. 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140 IV 57 c.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Le séquestre ne saurait toutefois violer le droit constitutionnel du prévenu à des conditions minimales d'existence, de sorte que l'autorité pénale doit, déjà à ce stade du séquestre, tenir compte de l'éventuelle atteinte au minimum vital du prévenu (ATF 141 IV 360 consid. 3.2 et 3.4). 2.2.1. À la lumière de l'ensemble de ces principes, force est de constater qu'il n'existe, à ce stade de la procédure, aucun motif permettant d'envisager la levée partielle des séquestres litigieux.</w:t>
      </w:r>
    </w:p>
    <w:p>
      <w:r>
        <w:t>- 12/14 - P/18252/2019 Dans le cadre d'une enquête complexe impliquant des recherches approfondies en Suisse et à l'étranger, ceux-ci ne sont pas d'une durée excessive, ce qui n'est par ailleurs pas allégué, et la vraisemblance de l'existence de charges suffisantes à l'encontre du recourant, pas vraiment contestée par ce dernier dans le présent recours, demeure, en l'état d'avancement de l'instruction, largement suffisante au regard des critères applicables en la matière pour les maintenir. Il est en effet vraisemblable, à ce stade, que l'implication du recourant dans l'activité délictuelle que lui prête l'intimé, sur plusieurs années, permette d'envisager un dommage possible de l'ordre de plusieurs millions de francs suisses. La question de la proportionnalité des séquestres en cause ne se pose donc pas. 2.2.2. Le recourant insiste sur la précarité de sa situation financière et sur la nécessité de libérer des fonds afin d'assurer l'entretien de sa famille. Or, le dossier révèle, malgré les contestations du recourant, qu'il a maintenu un train de vie élevé depuis sa mise en prévention et les budgets conséquents qu'il présente au Ministère public ou à la Chambre de céans démontrent qu'il a choisi de ne pas en changer, malgré l'impact de sa mise en prévention sur sa situation. Ainsi, depuis octobre 2019, il n'a rien entrepris pour dépenser moins et a largement puisé dans ses biens disponibles pour assurer un train de vie avoisinant celui de sa situation antérieure. À tout le moins et selon son calcul a-t-il continué à dépenser plus de CHF 25'000.- par mois, voire plus de CHF 60'000.-, étant observé que ces montants sont largement inférieurs aux conclusions des intimés et supérieurs à ce que ces derniers considèrent comme suffisants. Le recourant prétend dorénavant ne pouvoir maintenir l'essentiel de son train de vie qu'en obtenant la levée des séquestres, sans proposer une réelle adaptation de son budget. Or, il ne parle ni de la réduction des frais d'écolage de ses enfants, ni de la possibilité pour son épouse de travailler ni de celle de mettre en location la villa familiale, dans un contexte pourtant favorable. Ces derniers constats permettent de considérer que le séquestre dont se plaint le recourant ne l'affecte pas dans la mesure annoncée et que son minimum vital n'est pas atteint. En effet, s'il avait accepté de réduire son train de vie, les montants qu'il avait reçus suffisaient déjà à garantir son minimum vital, que l'on peut retenir, pour sa famille, avec le Ministère public, à hauteur de CHF 8'250.65 par mois et ce sans même considérer les biens qu'il possède à l'étranger et dont l'étendue n'est pas clairement définie, ni prendre en compte les avances qu'il pourrait obtenir au regard des montants importants qui devraient lui échoir à l'avènement prochain de l'âge de la retraite. Dans ces circonstances, les séquestres prononcés doivent être maintenus.</w:t>
      </w:r>
    </w:p>
    <w:p>
      <w:r>
        <w:rPr>
          <w:b/>
        </w:rPr>
        <w:t>E. 3</w:t>
      </w:r>
    </w:p>
    <w:p>
      <w:r>
        <w:t>Justifiée, l'ordonnance querellée sera donc confirmée.</w:t>
      </w:r>
    </w:p>
    <w:p>
      <w:r>
        <w:rPr>
          <w:b/>
        </w:rPr>
        <w:t>E. 4</w:t>
      </w:r>
    </w:p>
    <w:p>
      <w:r>
        <w:t>Le recourant, qui succombe, supportera les frais envers l'État, fixés en totalité à CHF 2'000.- (art. 428 al. 1 CPP et 13 al. 1 du Règlement fixant le tarif des frais en matière pénale, RTFMP ; E 4 10.03). * * * * *</w:t>
      </w:r>
    </w:p>
    <w:p>
      <w:r>
        <w:t>- 13/14 - P/18252/2019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