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ACPR/657/2025 vom 18. Juni 2025</w:t>
      </w:r>
    </w:p>
    <w:p>
      <w:r>
        <w:t>GE Cour de justice, 2025-06-18, FR</w:t>
      </w:r>
    </w:p>
    <w:p>
      <w:r>
        <w:rPr>
          <w:b/>
        </w:rPr>
        <w:t xml:space="preserve">Quelle: </w:t>
      </w:r>
      <w:r>
        <w:t>https://mcp.opencaselaw.ch/entscheid/ge_gerichte_ACPR_657_2025</w:t>
      </w:r>
    </w:p>
    <w:p>
      <w:r>
        <w:t>FR: GE_GERICHTE ACPR/657/2025 du 18 juin 2025</w:t>
      </w:r>
    </w:p>
    <w:p>
      <w:r>
        <w:t>IT: GE_GERICHTE ACPR/657/2025 del 18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refusé d'entrer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w:t>
      </w:r>
    </w:p>
    <w:p>
      <w:r>
        <w:t>- 4/7 - P/23324/2024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 Une décision de non-entrée en matière peut se justifier même si les conditions du crime/délit sont réalisées, pour autant qu'aucun acte d'enquête raisonnable ne permette d'en découvrir l'auteur (arrêt du Tribunal fédéral 1B_67/2012 du 29 mai 2012 consid. 3.2). Il sied alors de mettre en balance les intérêts en jeu (ibidem), le principe de proportionnalité s'appliquant à toutes les activités étatiques (art. 5 al. 2 Cst. féd.), y compris aux investigations pénales (ACPR/555/2025 du 17 juillet 2025 consid. 3.3; ACPR/888/2021 du 16 décembre 2021 consid. 3.2 in fine; Y. JEANNERET / A. KUHN / C. PERRIER DEPEURSINGE (éds), Commentaire romand : Code de procédure pénale suisse, 2ème éd., Bâle 2019, n. 10d ad art. 310).</w:t>
      </w:r>
    </w:p>
    <w:p>
      <w:r>
        <w:rPr>
          <w:b/>
        </w:rPr>
        <w:t>E. 3.2</w:t>
      </w:r>
    </w:p>
    <w:p>
      <w:r>
        <w:t>Se rend coupable d'utilisation frauduleuse d'un ordinateur (art. 147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w:t>
      </w:r>
    </w:p>
    <w:p>
      <w:r>
        <w:rPr>
          <w:b/>
        </w:rPr>
        <w:t>E. 3.3</w:t>
      </w:r>
    </w:p>
    <w:p>
      <w:r>
        <w:t>À teneur de l'art. 299 al. 1 CPP, la procédure préliminaire se compose de la procédure d'investigation de la police et de l'instruction conduite par le ministère public. L'alinéa 2 de la même disposition dispose que lorsque des soupçons laissent présumer qu'une infraction a été commise, des investigations sont effectuées et des preuves sont administrées dans la procédure préliminaire.</w:t>
      </w:r>
    </w:p>
    <w:p>
      <w:r>
        <w:t>- 5/7 - P/23324/2024</w:t>
      </w:r>
    </w:p>
    <w:p>
      <w:r>
        <w:rPr>
          <w:b/>
        </w:rPr>
        <w:t>E. 3.4</w:t>
      </w:r>
    </w:p>
    <w:p>
      <w:r>
        <w:t>En l'espèce, contrairement à ce que semble affirmer la recourante, une procédure préliminaire a bien été ouverte par le Ministère public qui a émis un ordre de dépôt à l'intention de la Banque. L'existence de soupçons a ainsi été reconnue et dûment prise en compte par cette autorité. Le fait que l'auteur ou les auteurs des infractions dénoncées ne puisse(nt) en l'espèce pas être identifié(s) est en revanche bien un motif de prononcer une ordonnance de non-entrée en matière, même si les conditions du crime/délit sont réalisées. Une telle ordonnance est également justifiée en tant qu'aucun acte d'enquête raisonnable supplémentaire ne pourrait permette d'en découvrir l'auteur. La production des images de vidéosurveillance de la Banque a déjà été formellement ordonnée; un ordre de dépôt de toutes autres images de vidéosurveillance serait manifestement voué à l'échec compte tenu du temps écoulé, si tant est qu'il puisse être considéré comme proportionné; on perçoit par ailleurs mal ce que l'audition des employés de banque pourrait apporter, les retraits litigieux n'ayant pas été effectués aux guichets. Enfin, tant les raisons de l'indisponibilité des images de vidéosurveillance que l'éventuelle responsabilité contractuelle de la Banque n'ont pas à être investiguées ici, d'éventuels manquements de la Banque en termes de sécurité étant de nature civile. Il découle de ce qui précède que le recours doit être rejeté.</w:t>
      </w:r>
    </w:p>
    <w:p>
      <w:r>
        <w:rPr>
          <w:b/>
        </w:rPr>
        <w:t>E. 4</w:t>
      </w:r>
    </w:p>
    <w:p>
      <w:r>
        <w:t>Justifiée, l'ordonnance querellée sera donc confirmée.</w:t>
      </w:r>
    </w:p>
    <w:p>
      <w:r>
        <w:rPr>
          <w:b/>
        </w:rPr>
        <w:t>E. 5</w:t>
      </w:r>
    </w:p>
    <w:p>
      <w:r>
        <w:t>La recourante, qui succombe, supportera les frais envers l'État, qui seront arrêtés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