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ACPR/655/2019 vom 2. August 2019</w:t>
      </w:r>
    </w:p>
    <w:p>
      <w:r>
        <w:t>GE Cour de justice, 2019-08-02, FR</w:t>
      </w:r>
    </w:p>
    <w:p>
      <w:r>
        <w:rPr>
          <w:b/>
        </w:rPr>
        <w:t xml:space="preserve">Quelle: </w:t>
      </w:r>
      <w:r>
        <w:t>https://mcp.opencaselaw.ch/entscheid/ge_gerichte_ACPR_655_2019</w:t>
      </w:r>
    </w:p>
    <w:p>
      <w:r>
        <w:t>FR: GE_GERICHTE ACPR/655/2019 du 2 août 2019</w:t>
      </w:r>
    </w:p>
    <w:p>
      <w:r>
        <w:t>IT: GE_GERICHTE ACPR/655/2019 del 2 agosto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 charges suffisantes, quand bien même il minimise la gravité des faits. L'existence de charges graves et suffisantes apparaît cependant acquise, eu égard aux éléments du dossier rappelés par le TMC dans son ordonnance querellée et déjà constatés par cette autorité dans ses précédentes décisions, de sorte qu'il n'y a pas lieu d'y revenir.</w:t>
      </w:r>
    </w:p>
    <w:p>
      <w:r>
        <w:rPr>
          <w:b/>
        </w:rPr>
        <w:t>E. 2.1</w:t>
      </w:r>
    </w:p>
    <w:p>
      <w:r>
        <w:t>et les références citées).</w:t>
      </w:r>
    </w:p>
    <w:p>
      <w:r>
        <w:t>Partant, une telle mesure n'est pas propre à empêcher le recourant de commettre de nouvelles infractions de même nature ni de fomenter de nouveaux actes répréhensibles avec les militants de son mouvement.</w:t>
      </w:r>
    </w:p>
    <w:p>
      <w:r>
        <w:t>Dès lors que ladite mesure n'a pas pour vocation d'empêcher des contacts avec des tiers, on ne voit pas en quoi le refus du TMC d'assigner le prévenu à résidence violerait sa liberté de réunion et d'association.</w:t>
      </w:r>
    </w:p>
    <w:p>
      <w:r>
        <w:t>On ne voit enfin pas quelle autre mesure pourrait pallier le risque retenu et le recourant n'en propose du reste aucune.</w:t>
      </w:r>
    </w:p>
    <w:p>
      <w:r>
        <w:rPr>
          <w:b/>
        </w:rPr>
        <w:t>E. 3</w:t>
      </w:r>
    </w:p>
    <w:p>
      <w:r>
        <w:t>Le recourant conteste le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3.2</w:t>
      </w:r>
    </w:p>
    <w:p>
      <w:r>
        <w:t>En l'espèce, sans préjudice des autres infractions reprochées, les nombreux dommages à la propriété occasionnés apparaissent à ce stade considérables, eu égard aux factures produites par les lésés (cf. notamment décompte de l'établissement W______/AC______ Assurances mentionnant des dommages à l'inventaire avoisinant les CHF 60'000.-; décompte de l'État de Fribourg pour les frais de remise en état des bâtiments : plus de CHF 70'000.-), étant relevé que selon la jurisprudence, tout dommage à partir d'une seuil de CHF 10'000.- doit être qualifié de considérable (M. DUPUIS / L. MOREILLON / C. PIGUET / S. BERGER / M. MAZOU / V. RODIGARI (éds), Petit commentaire du Code pénal, 2ème édition, Bâle 2017, n. 23 ad art. 144). L'infraction à l'art. 144 al. 3 CP, passible d'une peine pouvant aller jusqu'à cinq ans de privation de liberté, est donc un crime (art. 10 al. 2 CP). Partant, les faits reprochés sont suffisamment graves pour fonder un risque de réitération, indépendamment de toute mise en danger de la sécurité d'autrui. Eu égard à la multiplicité des infractions en cause – 17 cas recensés sur une période de dix mois et liés au mouvement antispéciste auquel le prévenu appartient – et aux nombreux antécédents du prévenu pour des dommages à la propriété – sa condamnation du 21 mars 2018 portant également sur des faits revendiqués par les antispécistes –, il existe bel et bien un risque concret de récidive, étant relevé, à l'instar du Ministère public, que les actes en cause sont allés crescendo dans leur gravité (tags, puis pavés dans des vitrines de boucherie et enfin mise à sac d'un abattoir). Le fait que la mise à sac de l'abattoir ait été perpétrée trois mois avant l'arrestation du prévenu n'atténue en rien les considérations qui précèdent. Ce risque est par ailleurs accentué par l'absence de prise de conscience et de regrets du prévenu. Le recourant s'égare lorsqu'il prétend que le risque de récidive serait uniquement motivé par son "idéologie". Comme relevé à juste titre par le Ministère public, ce ne se sont pas les convictions antispécistes du prévenu qui fondent ce risque mais les moyens mis en œuvre pour les exprimer, constitutifs d'infractions pénales. Or, la liberté d'opinion dont jouit le recourant ne saurait justifier la commission de crimes. Partant, c'est à tort qu'il estime que celle-ci a été violée. Enfin, le risque de récidive a été invoqué par le Ministère public à l'appui de sa demande de prolongation de détention et le prévenu a pu se déterminer par écrit sur celle-ci. Il a également eu le loisir, dans le cadre de son recours, de se prononcer sur la pertinence des arguments et de la motivation du TMC à cet égard, de sorte que la prétendue violation de son droit d'être entendu tombe à faux.</w:t>
      </w:r>
    </w:p>
    <w:p>
      <w:r>
        <w:rPr>
          <w:b/>
        </w:rPr>
        <w:t>E. 4.1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w:t>
      </w:r>
    </w:p>
    <w:p>
      <w:r>
        <w:t>- 9/11 - P/8314/2018 plusieurs mesures moins sévères en lieu et place de la détention si ces mesures permettent d'atteindre le même but que la détention.</w:t>
      </w:r>
    </w:p>
    <w:p>
      <w:r>
        <w:rPr>
          <w:b/>
        </w:rPr>
        <w:t>E. 4.2</w:t>
      </w:r>
    </w:p>
    <w:p>
      <w:r>
        <w:t>En l'occurrence, une assignation à résidence, éventuellement couplée à un bracelet électronique, n'apparaît pas suffisante pour pallier le risque concret de récidive.</w:t>
      </w:r>
    </w:p>
    <w:p>
      <w:r>
        <w:t>Un tel outil n'a pas pour vocation de pallier la récidive mais uniquement de s'assurer qu'une personne assignée à résidence ou interdite de périmètre est bien à l'emplacement prescrit aux heures prévues ou, au contraire, n'est pas à un endroit où l'accès lui est interdit (arrêt du Tribunal fédéral 1B_142/2018 du 5 avril 2018 consid.</w:t>
      </w:r>
    </w:p>
    <w:p>
      <w:r>
        <w:rPr>
          <w:b/>
        </w:rPr>
        <w:t>E. 5</w:t>
      </w:r>
    </w:p>
    <w:p>
      <w:r>
        <w:t>Le recourant est soupçonné d'infractions graves. Eu égard à la peine menace et concrète encourue s'il devait être reconnu coupable des préventions retenues contre lui, la durée de la détention provisoire subie à ce jour demeure parfaitement proportionnée, étant relevé que l'instruction semble terminée et son renvoi en jugement imminent.</w:t>
      </w:r>
    </w:p>
    <w:p>
      <w:r>
        <w:rPr>
          <w:b/>
        </w:rPr>
        <w:t>E. 6</w:t>
      </w:r>
    </w:p>
    <w:p>
      <w:r>
        <w:t>Le recours s'avère ainsi infondé et doit être rejeté, ce qui scelle également le sort de des conclusions du recourant en indemnisation pour détention injustifiée, à supposer que la Chambre de céans soit compétente pour en connaître à ce stade.</w:t>
      </w:r>
    </w:p>
    <w:p>
      <w:r>
        <w:rPr>
          <w:b/>
        </w:rPr>
        <w:t>E. 7</w:t>
      </w:r>
    </w:p>
    <w:p>
      <w:r>
        <w:t>Le recourant, qui succombe, supportera les frais envers l'État, qui comprendront un émolument de CHF 900.- (art. 428 al. 1 CPP et 13 al. 1 du Règlement fixant le tarif des frais en matière pénale, RTFMP ; E 4 10.03). * * * * *</w:t>
      </w:r>
    </w:p>
    <w:p>
      <w:r>
        <w:t>- 10/11 - P/8314/2018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