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ACPR/653/2023 vom 12. Januar 2023</w:t>
      </w:r>
    </w:p>
    <w:p>
      <w:r>
        <w:t>GE Cour de justice, 2023-01-12, FR</w:t>
      </w:r>
    </w:p>
    <w:p>
      <w:r>
        <w:rPr>
          <w:b/>
        </w:rPr>
        <w:t xml:space="preserve">Quelle: </w:t>
      </w:r>
      <w:r>
        <w:t>https://mcp.opencaselaw.ch/entscheid/ge_gerichte_ACPR_653_2023</w:t>
      </w:r>
    </w:p>
    <w:p>
      <w:r>
        <w:t>FR: GE_GERICHTE ACPR/653/2023 du 12 janvier 2023</w:t>
      </w:r>
    </w:p>
    <w:p>
      <w:r>
        <w:t>IT: GE_GERICHTE ACPR/653/2023 del 12 gennaio 2023</w:t>
      </w:r>
    </w:p>
    <w:p>
      <w:pPr>
        <w:pStyle w:val="Heading2"/>
      </w:pPr>
      <w:r>
        <w:t>Erwägungen</w:t>
      </w:r>
    </w:p>
    <w:p>
      <w:r>
        <w:rPr>
          <w:b/>
        </w:rPr>
        <w:t>E. 1</w:t>
      </w:r>
    </w:p>
    <w:p>
      <w:r>
        <w:t>En vertu de l'art. 42 al. 1 let. a LaCP, la Chambre de céans connaît des recours dirigés contre les décisions rendues par le département de la sécurité, ses offices et ses services conformément à l’article 40 LaCP (art. 439 al. 1 CPP). Le CPP s’applique à titre de droit cantonal supplétif (art. 439, al. 1, CPP); la procédure est notamment régie par les art. 379 à 397 CPP (art. 42 al. 2 LaCP). Pour le surplus, la loi sur la procédure administrative (LPA; RS E 5 10) est applicable (art. 40 al. 4 LaCP).</w:t>
      </w:r>
    </w:p>
    <w:p>
      <w:r>
        <w:t>- 4/8 - PS/14/2023 Le recours est dirigé contre une décision rendue par le SAPEM, dans une matière pour laquelle il est compétent (art. 40 al. 1 et 5 al. 1 let. e LaCP; art. 11 al. 1 let. d REPM), a été déposée dans le délai prescrit (art. 396 CPP) et émane du condamné visé par la décision querellée et qui a un intérêt juridiquement protégé à l'annulation de la décision entreprise (art. 382 CPP).</w:t>
      </w:r>
    </w:p>
    <w:p>
      <w:r>
        <w:rPr>
          <w:b/>
        </w:rPr>
        <w:t>E. 2</w:t>
      </w:r>
    </w:p>
    <w:p>
      <w:r>
        <w:t>Le recourant, appuyé par le SAPEM, sollicite, à titre préalable, la suspension de la procédure jusqu’à droit connu sur la procédure de révision. La CPAR ayant statué, par un arrêt rendu le 27 juillet 2023, cette conclusion est sans objet.</w:t>
      </w:r>
    </w:p>
    <w:p>
      <w:r>
        <w:rPr>
          <w:b/>
        </w:rPr>
        <w:t>E. 3</w:t>
      </w:r>
    </w:p>
    <w:p>
      <w:r>
        <w:t>Le recourant s’oppose à la transmission des informations sur l’exécution de sa peine.</w:t>
      </w:r>
    </w:p>
    <w:p>
      <w:r>
        <w:rPr>
          <w:b/>
        </w:rPr>
        <w:t>E. 3.1</w:t>
      </w:r>
    </w:p>
    <w:p>
      <w:r>
        <w:t>À teneur de l’art. 92a al. 1 CP,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À cet égard, le Tribunal fédéral a explicitement jugé que l’autorité d’exécution ne peut refuser de communiquer les informations que si un intérêt prépondérant le justifie (ATF 145 IV 287). Il faut en tirer la conséquence que la victime n’a pas besoin de démontrer d’intérêt particulier à la communication et que la transmission des informations est la règle en cas de demande.</w:t>
      </w:r>
    </w:p>
    <w:p>
      <w:r>
        <w:rPr>
          <w:b/>
        </w:rPr>
        <w:t>E. 3.2</w:t>
      </w:r>
    </w:p>
    <w:p>
      <w:r>
        <w:t>Les données sur les personnes contenues dans les décisions d’exécution sont toutefois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porter atteinte à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w:t>
      </w:r>
    </w:p>
    <w:p>
      <w:r>
        <w:t>- 5/8 - PS/14/2023 sécurité (en lui permettant p. ex. de se tenir à l’écart du condamné) (Rapport de la Commission des affaires juridiques du Conseil national du 7 novembre 2013, FF 2014 869 et 872-873).</w:t>
      </w:r>
    </w:p>
    <w:p>
      <w:r>
        <w:rPr>
          <w:b/>
        </w:rPr>
        <w:t>E. 3.3</w:t>
      </w:r>
    </w:p>
    <w:p>
      <w:r>
        <w:t>Le droit de la victime à être informée n’est dès lors pas absolu (ACPR/298/2019 du 23 avril 2019).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(ACPR/298/2019 du 23 avril 2019).</w:t>
      </w:r>
    </w:p>
    <w:p>
      <w:r>
        <w:rPr>
          <w:b/>
        </w:rPr>
        <w:t>E. 3.4</w:t>
      </w:r>
    </w:p>
    <w:p>
      <w:r>
        <w:t>Il existe un intérêt public des victimes et de leurs proches à recevoir des informations sur l’exécution des peines et des mesures. Ces personnes doivent pouvoir se mouvoir librement, c’est-à-dire sans avoir à redouter de croiser inopinément la personne condamnée (art. 10 al. 2 Cst. ; ATF 145 IV 287).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(ACPR/298/2019 du 24 avril 2019).</w:t>
      </w:r>
    </w:p>
    <w:p>
      <w:r>
        <w:rPr>
          <w:b/>
        </w:rPr>
        <w:t>E. 3.5</w:t>
      </w:r>
    </w:p>
    <w:p>
      <w:r>
        <w:t>En l’espèce, le recourant ne conteste, à juste titre, pas que B______ soit une victime au sens de la LAVI. L’art. 92a CP lui est donc applicable. Conformément aux principes précités, la victime n’a, fondamentalement, pas besoin de démontrer un intérêt à recevoir les informations relatives à l’exécution de la peine et de la mesure. En tout état, cet intérêt existe bel et bien pour B______. Elle a en effet eu une relation amoureuse avec le condamné et dispose ainsi d’un intérêt à savoir si elle risque de le croiser avant son entrée en détention, respectivement recevoir l’assurance de ne plus le croiser lorsque la mesure d’expulsion aura été exécutée, étant rappelé que le droit à l’information de l’art. 92a CP concerne aussi bien la peine que la mesure. À cet égard, le fait que le condamné connaisse son adresse n’est pas relevant en l’occurrence. Le recourant met en avant l’existence de problèmes de santé psychique pour s’opposer à la transmission d’information. Le stress induit par une procédure pénale,</w:t>
      </w:r>
    </w:p>
    <w:p>
      <w:r>
        <w:t>- 6/8 - PS/14/2023 respectivement par une procédure d’exécution, est toutefois inhérent à la procédure elle-même. Elle est ainsi insuffisante pour renverser le droit à l’information, auquel il ne peut être renoncé que dans des cas exceptionnels (cf. ATF 145 IV 287). C’est d’autant plus vrai en l’espèce que selon le certificat médical produit par le recourant, ce dernier ne souffre que d’un trouble dépressif récurrent, épisode moyen, et d’une anxiété générale. En l’absence d’un trouble qualifié de grave, cette atteinte à la santé ne doit pas entraîner de renonciation à communiquer. Il faut aussi relever que le condamné, auteur d’une infraction, cherche en définitive à se poser en victime – produisant un certificat médical qui parle de traumatisme – ce qui n’est pas un intérêt digne de protection pour renoncer au droit à l’information de la victime visé à l’art. 92a CP. Enfin, le risque de voir la victime transmettre ces informations à des tiers a été jugulé par l’interdiction de communiquer, sous la peine prévue par l’art. 292 CP, dont la décision a été assortie. Cette précaution du SAPEM démontre que la pesée des intérêts a été faite avec soin et que les intérêts du condamné ont également été pris en compte.</w:t>
      </w:r>
    </w:p>
    <w:p>
      <w:r>
        <w:rPr>
          <w:b/>
        </w:rPr>
        <w:t>E. 3.6</w:t>
      </w:r>
    </w:p>
    <w:p>
      <w:r>
        <w:t>Conforme à l’art. 92a CP et prenant dûment en compte tous les intérêts en présence, la décision entreprise sera confirmée. Le recours doit ainsi être rejeté.</w:t>
      </w:r>
    </w:p>
    <w:p>
      <w:r>
        <w:rPr>
          <w:b/>
        </w:rPr>
        <w:t>E. 4</w:t>
      </w:r>
    </w:p>
    <w:p>
      <w:r>
        <w:t>Les dispositions du CPP auxquelles renvoie le droit cantonal ne traitent pas des frais de justice. Sur ce point, la Chambre de céans applique aussi le CPP à titre de droit supplétif (ACPR/298/2019 du 23 avril 2019 consid. 4). Le recourant, qui succombe, supportera ainsi les frais envers l'État, qui comprendront un émolument de CHF 900.- (art. 428 al. 1 CPP et 13 al. 1 du Règlement fixant le tarif des frais en matière pénale, RTFMP ; E 4 10.03).</w:t>
      </w:r>
    </w:p>
    <w:p>
      <w:r>
        <w:t>- 7/8 - PS/14/2023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