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ACPR/652/2023 vom 4. August 2023</w:t>
      </w:r>
    </w:p>
    <w:p>
      <w:r>
        <w:t>GE Cour de justice, 2023-08-04, FR</w:t>
      </w:r>
    </w:p>
    <w:p>
      <w:r>
        <w:rPr>
          <w:b/>
        </w:rPr>
        <w:t xml:space="preserve">Quelle: </w:t>
      </w:r>
      <w:r>
        <w:t>https://mcp.opencaselaw.ch/entscheid/ge_gerichte_ACPR_652_2023</w:t>
      </w:r>
    </w:p>
    <w:p>
      <w:r>
        <w:t>FR: GE_GERICHTE ACPR/652/2023 du 4 août 2023</w:t>
      </w:r>
    </w:p>
    <w:p>
      <w:r>
        <w:t>IT: GE_GERICHTE ACPR/652/2023 del 4 agosto 2023</w:t>
      </w:r>
    </w:p>
    <w:p>
      <w:pPr>
        <w:pStyle w:val="Heading2"/>
      </w:pPr>
      <w:r>
        <w:t>Erwägungen</w:t>
      </w:r>
    </w:p>
    <w:p>
      <w:r>
        <w:rPr>
          <w:b/>
        </w:rPr>
        <w:t>E. 29</w:t>
      </w:r>
    </w:p>
    <w:p>
      <w:r>
        <w:t>juillet 2016 consid. 2.1; 6B_49/2015 du 3 décembre 2015 consid. 3.1 et les références citées); -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(A. KUHN / Y. JEANNERET (éds), Commentaire romand : Code de procédure pénale suisse, Bâle 2019, n. 10 ad art. 94 CPP); - la demande de restitution du délai doit être présentée dans les 30 jours qui suivent la fin de l'empêchement allégué (art. 94 al. 2 CPP); - en l'espèce, s'il est établi que le recourant a subi une intervention dentaire en urgence au même moment que l'heure de l'audience fixée au 2 mars 2023, il ne</w:t>
      </w:r>
    </w:p>
    <w:p>
      <w:r>
        <w:t>- 4/6 - P/18287/2021 démontre pas que des complications subséquentes l'auraient empêché sans sa faute de solliciter, le cas échéant par l'intermédiaire d'un tiers, une restitution du délai pour comparaître dans les 30 jours suivant l'audience; - sa demande formulée le 6 avril 2023 dans le cadre de son recours contre l'ordonnance sur opposition du 23 mars précédent est ainsi tardive; - l'ordonnance du 23 mars 2023 constatant son défaut à l'audience et le retrait de son opposition à l'ordonnance pénale du 25 avril 2022 n'avait pas à mentionner les conditions auxquelles une demande de restitution de délai pouvait être faite, l'art. 94 CPP ne constituant pas une voie de recours (cf. art. 81 al. 1 let. d CPP); - la pièce 10 que le recourant produit (un courriel du 3 mars 2023 du Centre dentaire B______ lui demandant quel type de réaction il avait eu à la suite de l'anesthésie) n'atteste aucunement qu'il aurait été temporairement ou durablement empêché d'agir; - il en va de même de la pièce 11 (orthopantomogramme du 6 août 2023 des HUG); - les autres évènements allégués par le recourant (soins prodigués à sa fille, renvoi de Suisse de sa femme et détresse de ses parents), aussi pénibles qu'ils soient, ne constituent pas des motifs d'empêchement non fautifs, au sens de la jurisprudence susvisée; - dans ces circonstances, le recours ne peut être que rejeté; - le présent arrêt rend sans objet la demande d'effet suspensif; - vu l'issue du recours, il pouvait être statué sans échange d'écritures ni débats (art. 390 al. 2 et 5 a contrario CPP); - le recourant assumera les frais judiciaires envers l'État, qui seront fixés en totalité à CHF 600.- (art. 428 al. 1 CPP et 13 al. 1 du Règlement fixant le tarif des frais en matière pénale, RTFMP ; E 4 10.03). * * * * *</w:t>
      </w:r>
    </w:p>
    <w:p>
      <w:r>
        <w:t>- 5/6 - P/18287/2021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