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ACPR/652/2022 vom 21. März 2022</w:t>
      </w:r>
    </w:p>
    <w:p>
      <w:r>
        <w:t>GE Cour de justice, 2022-03-21, FR</w:t>
      </w:r>
    </w:p>
    <w:p>
      <w:r>
        <w:rPr>
          <w:b/>
        </w:rPr>
        <w:t xml:space="preserve">Quelle: </w:t>
      </w:r>
      <w:r>
        <w:t>https://mcp.opencaselaw.ch/entscheid/ge_gerichte_ACPR_652_2022</w:t>
      </w:r>
    </w:p>
    <w:p>
      <w:r>
        <w:t>FR: GE_GERICHTE ACPR/652/2022 du 21 mars 2022</w:t>
      </w:r>
    </w:p>
    <w:p>
      <w:r>
        <w:t>IT: GE_GERICHTE ACPR/652/2022 del 21 marzo 2022</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 Celui qui s'est vu dénier la qualité de partie plaignante par la décision attaquée doit par ailleurs être considéré comme un participant à la procédure (art. 105 al. 1 let. a CPP), auquel l'art. 105 al. 2 CPP octroie tous les droits d'une partie qui sont nécessaires à la sauvegarde de ses intérêts (ATF 137 IV 280 consid. 2.2.1 p. 282ss). Il convient donc de reconnaître au recourant un intérêt juridiquement protégé à la modification ou à l'annulation de la décision querellée (art. 382 al. 1 CPP). Le recours est, partant, recevable.</w:t>
      </w:r>
    </w:p>
    <w:p>
      <w:r>
        <w:rPr>
          <w:b/>
        </w:rPr>
        <w:t>E. 2.1</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p. 183; 138 I 232 consid. 5.1 p. 237).</w:t>
      </w:r>
    </w:p>
    <w:p>
      <w:r>
        <w:rPr>
          <w:b/>
        </w:rPr>
        <w:t>E. 2.2</w:t>
      </w:r>
    </w:p>
    <w:p>
      <w:r>
        <w:t>En matière de violation du droit d'être entendu, la réparation consiste à renvoyer le dossier à l'autorité intimée pour qu'elle rende une nouvelle décision, étant rappelé qu’aucun effet guérisseur n'est reconnu, en instance de recours, aux observations par lesquelles le Ministère public suppléerait au défaut de motivation de sa décision. Solliciter des observations de celui-ci aurait en effet notamment pour conséquence que soit ordonné, devant l’autorité de recours, un second échange d'écritures (art. 390 al. 3 et 5 CPP) ou une réplique, c'est-à-dire des actes procéduraux avant tout destinés à permettre aux parties de déposer des observations au sujet d'une prise de position ou d'une pièce nouvellement versée au dossier (cf. ATF 137 I 195 consid. 2 p. 197), mais pas à remédier aux carences procédurales de l'autorité précédente (ACPR/597/2017 du 1er septembre 2017 consid. 4.3). La Chambre de céans est ainsi habilitée, quand l’absence de motivation (suffisante) d’une décision l’empêche de statuer, à renvoyer d’office la cause au Ministère public (cf. ACPR/321/2022 du 5 mai 2022 consid. 2.3 et ACPR/177/2022 du 10 mars 2022, consid. 9.2 et 9.3).</w:t>
      </w:r>
    </w:p>
    <w:p>
      <w:r>
        <w:rPr>
          <w:b/>
        </w:rPr>
        <w:t>E. 3.1</w:t>
      </w:r>
    </w:p>
    <w:p>
      <w:r>
        <w:t>À teneur de l'art. 118 al. 1 CPP, on entend par partie plaignante le lésé qui déclare expressément vouloir participer à la procédure pénale comme demandeur au pénal ou au civil.</w:t>
      </w:r>
    </w:p>
    <w:p>
      <w:r>
        <w:t>- 6/9 - P/1754/2020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Pour être directement touché, le lésé doit en outre subir une atteinte en rapport de causalité directe avec l'infraction poursuivie, ce qui exclut les personnes subissant un préjudice indirect ou par ricochet. Ainsi, lorsqu'une infraction est perpétrée au détriment du patrimoine d'une personne morale, seule celle-ci subit un dommage et peut donc prétendre à la qualité de lésé, à l'exclusion de ses actionnaires, ayants droit économiques ou créanciers (ATF 141 IV 380 consid. 2.3.3; 140 IV 155 consid. 3.3.1; arrêt du Tribunal fédéral 6B_103/2021 du 26 avril 2021 consid. 1.1 et les arrêts cités). Tant que les faits déterminants ne sont pas définitivement arrêtés, il y a lieu de se fonder sur les allégués de celui qui se prétend lésé pour déterminer si tel est effectivement le cas. La partie plaignante doit toutefois rendre vraisemblable le préjudice et le lien de causalité entre celui-ci et l'infraction dénoncée (arrêts du Tribunal fédéral 6B_361/2013 du 5 septembre 2013 et 1B_678/2011 du 30 janvier 2012 consid. 2.1 ; Y. JEANNERET / A. KUHN / C. PERRIER DEPEURSINGE (éds), Commentaire romand : Code de procédure pénale suisse, 2ème éd., Bâle 2019, 13a ad art. 115).</w:t>
      </w:r>
    </w:p>
    <w:p>
      <w:r>
        <w:rPr>
          <w:b/>
        </w:rPr>
        <w:t>E. 3.2</w:t>
      </w:r>
    </w:p>
    <w:p>
      <w:r>
        <w:t>Les infractions d'abus de confiance (art. 138 CP), d'escroquerie (art. 146 CP) et de gestion déloyale (art. 158 CP) figurent dans le titre 2 du code pénal traitant des infractions contre le patrimoine. Dans ce cas, le propriétaire des valeurs patrimoniales est considéré comme la personne lésée (arrêt du Tribunal fédéral 1B_18/2018 du 19 avril 2018 consid. 2.1). L'art. 251 CP (faux dans les titres) protège en premier lieu un bien juridique collectif, à savoir la confiance que l'on peut accorder, dans les relations juridiques, à un titre en tant que moyen de preuve (ATF 142 IV 119 consid. 2.2 p. 121ss; 137 IV 167 consid. 2.3.1). Le faux dans les titres peut toutefois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(ATF 140 IV 155 consid. 3.3.3; Y. JEANNERET / A. KUHN / C. PERRIER DEPEURSINGE (éds), op.cit., n. 11 ad art. 115). En revanche, le seul fait pour une</w:t>
      </w:r>
    </w:p>
    <w:p>
      <w:r>
        <w:t>- 7/9 - P/1754/2020 personne de voir sa signature contrefaite ne suffit pas à lui conférer la qualité de lésé (cf. arrêt du Tribunal fédéral 6B_1069/2018 du 15 novembre 2018 consid. 7.4). L'art. 305bis CP réprime, du chef de blanchiment d'argent, celui qui aura commis un acte propre à entraver l'identification de l'origine, la découverte ou la confiscation de valeurs patrimoniales dont il savait ou devait présumer qu'elles provenaient d'un crime. Cette disposition vise en premier lieu à protéger l'administration de la justice; elle protège toutefois également les intérêts patrimoniaux de ceux qui sont lésés par le crime préalable, lorsque les valeurs patrimoniales proviennent d'actes délictueux contre des intérêts individuels (ATF 129 IV 322 consid. 2.2.4 p. 326; arrêt du Tribunal fédéral 6B_549/2013 du 24 février 2014 consid. 2.2.3; SJ 1998 646). Il y a dès lors lieu de procéder à une analyse de l'infraction préalable afin de déterminer le titulaire du bien juridique protégé (P. DE PREUX, Le lésé et la partie plaignante en blanchiment d'argent, in Blanchiment d'argent, 2014, pp. 127ss, p. 131).</w:t>
      </w:r>
    </w:p>
    <w:p>
      <w:r>
        <w:rPr>
          <w:b/>
        </w:rPr>
        <w:t>E. 3.3</w:t>
      </w:r>
    </w:p>
    <w:p>
      <w:r>
        <w:t>Le Ministère public a dénié à A______ la qualité de partie plaignante dans le cadre de la P/1754/2020. Le recourant ne conteste pas le bien-fondé de cette décision en ce qui concerne les agissements pour lesquels E______ est d'ores et déjà prévenue, soit ceux en lien avec l'appropriation des tableaux, dont il admet qu'ils n'ont jamais cessé d'être la propriété de son épouse. La procédure porte toutefois non seulement sur ces faits, mais également sur les infractions dénoncées par le recourant, notamment dans son complément de plainte du 8 mai 2020. Or, le Ministère public n'a jamais pris position sur ces accusations, ni n'en dit mot dans la décision entreprise. La Chambre de céans – qui n'a pas à rechercher d'elle-même ce qu'il en est (ACPR/172/2022) – ne peut donc pas exercer son contrôle sur les points soulevés par le recourant, en particulier si la qualité de partie plaignante pour l'ensemble de la procédure a à bon droit été déniée au recourant. Il se justifie, partant, d'annuler l'ordonnance querellée et d'inviter le Ministère public à se prononcer sur les points omis.</w:t>
      </w:r>
    </w:p>
    <w:p>
      <w:r>
        <w:rPr>
          <w:b/>
        </w:rPr>
        <w:t>E. 4</w:t>
      </w:r>
    </w:p>
    <w:p>
      <w:r>
        <w:t>Compte tenu de la nature du vice constaté, il n'était pas nécessaire de recueillir d'observations des parties, car la Chambre de céans n'a pas statué sur le fond (cf. par analogie l'arrêt du Tribunal fédéral 6B_1212/2020 du 9 février 2021 consid. 2).</w:t>
      </w:r>
    </w:p>
    <w:p>
      <w:r>
        <w:rPr>
          <w:b/>
        </w:rPr>
        <w:t>E. 5</w:t>
      </w:r>
    </w:p>
    <w:p>
      <w:r>
        <w:t>L'admission du recours ne donne pas lieu à la perception de frais (art. 428 al. 1 CPP).</w:t>
      </w:r>
    </w:p>
    <w:p>
      <w:r>
        <w:t>- 8/9 - P/1754/2020</w:t>
      </w:r>
    </w:p>
    <w:p>
      <w:r>
        <w:rPr>
          <w:b/>
        </w:rPr>
        <w:t>E. 6</w:t>
      </w:r>
    </w:p>
    <w:p>
      <w:r>
        <w:t>Le recourant, qui obtient gain de cause, a demandé une indemnité, qu'il n'a toutefois pas chiffrée.</w:t>
      </w:r>
    </w:p>
    <w:p>
      <w:r>
        <w:t>Bien qu'il soit assisté d'un avocat, sa requête ne satisfait pas aux réquisits de l'art. 433 al. 2 CPP – applicable par renvoi de l'art. 434 al. 1 CPP – de sorte qu'il ne lui en sera pas alloué, ce d'autant que l'art. 434 al. 2 CPP précise que les prétentions sont réglées dans le cadre de la décision finale. * * * * *</w:t>
      </w:r>
    </w:p>
    <w:p>
      <w:r>
        <w:t>- 9/9 -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