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ACPR/650/2021 vom 26. Juni 2021</w:t>
      </w:r>
    </w:p>
    <w:p>
      <w:r>
        <w:t>GE Cour de justice, 2021-06-26, FR</w:t>
      </w:r>
    </w:p>
    <w:p>
      <w:r>
        <w:rPr>
          <w:b/>
        </w:rPr>
        <w:t xml:space="preserve">Quelle: </w:t>
      </w:r>
      <w:r>
        <w:t>https://mcp.opencaselaw.ch/entscheid/ge_gerichte_ACPR_650_2021</w:t>
      </w:r>
    </w:p>
    <w:p>
      <w:r>
        <w:t>FR: GE_GERICHTE ACPR/650/2021 du 26 juin 2021</w:t>
      </w:r>
    </w:p>
    <w:p>
      <w:r>
        <w:t>IT: GE_GERICHTE ACPR/650/2021 del 26 giugno 2021</w:t>
      </w:r>
    </w:p>
    <w:p>
      <w:pPr>
        <w:pStyle w:val="Heading2"/>
      </w:pPr>
      <w:r>
        <w:t>Erwägungen</w:t>
      </w:r>
    </w:p>
    <w:p>
      <w:r>
        <w:rPr>
          <w:b/>
        </w:rPr>
        <w:t>E. 1</w:t>
      </w:r>
    </w:p>
    <w:p>
      <w:r>
        <w:t>Le recours est recevable pour avoir été déposé selon la forme et dans le délai prescrits (art. 385 al. 1 et 396 al. 1 CPP) – les formalités de notification n'ayant pas été observées (art. 85 al. 2 CPP)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Justifiée, l'ordonnance querellée sera donc confirmée.</w:t>
      </w:r>
    </w:p>
    <w:p>
      <w:r>
        <w:rPr>
          <w:b/>
        </w:rPr>
        <w:t>E. 3.1</w:t>
      </w:r>
    </w:p>
    <w:p>
      <w:r>
        <w:t>À teneur de l'art. 310 al. 1 let. c CPP, le Ministère public rend immédiatement une ordonnance de non-entrée en matière s'il ressort de la dénonciation que les conditions mentionnées à l'art. 8 CPP sont remplies et imposent de renoncer à l'ouverture d'une poursuite pénale. L'art. 8 CPP prévoit que le ministère public peut renoncer à toute poursuite pénale, notamment lorsque les conditions visées à l'art. 52 CP sont remplies. Aux termes de cette disposition, l'autorité compétente renonce à poursuivre l'auteur, à le renvoyer devant le juge ou à lui infliger une peine, si tant sa culpabilité que les conséquences de son acte sont de peu d'importance. Il s'agit donc de deux conditions cumulatives (M. NIGGLI / H. WIPRÄCHTIGER (éds), Basler Kommentar, Strafrecht I, 2e éd., 2007, n. 14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w:t>
      </w:r>
    </w:p>
    <w:p>
      <w:r>
        <w:t>- 4/7 - P/12160/2021 la situation personnelle ou le comportement de l'auteur après l'infraction (ATF 135 IV 130 consid. 5.4 p. 137 ; DCPR/272/2011 du 4 octobre 2011).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w:t>
      </w:r>
    </w:p>
    <w:p>
      <w:r>
        <w:rPr>
          <w:b/>
        </w:rPr>
        <w:t>E. 3.2</w:t>
      </w:r>
    </w:p>
    <w:p>
      <w:r>
        <w:t>Se rend coupable d'injure celui qui aura, par la parole, l'écriture, l'image, le geste ou par des voies de fait, attaqué autrui dans son honneur (art. 177 al. 1 CP).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w:t>
      </w:r>
    </w:p>
    <w:p>
      <w:r>
        <w:rPr>
          <w:b/>
        </w:rPr>
        <w:t>E. 3.3</w:t>
      </w:r>
    </w:p>
    <w:p>
      <w:r>
        <w:t>In casu, le comportement de l'auteur, – un doigt d'honneur, sans autre parole blessante – est avéré au regard de l'image extraite de la vidéo de surveillance produite à l'appui du recours. Le Ministère public n'en disconvient pas. Il a cependant estimé que cet acte ne revêtait pas un degré de gravité tel qu'il faille le sanctionner pénalement. Cette approche peut être suivie. En effet, les conséquences du geste incriminé sont peu importantes pour le recourant, ce qu'il admet d'ailleurs lui-même. Le fait que ses locataires l'aient menacé d'agir contre lui en justice en raison du comportement de la famille B/C______ n'est pas une conséquence du geste dont il est question dans la présente plainte pénale – étant précisé qu'à l'appui des pièces produites, il n'apparaît pas que les locataires aient l'intention d'agir contre la famille A______ plutôt qu'à l'encontre de la famille B/C______ directement. L'acte dévié, apparemment isolé, s'inscrit dans une continuité de querelles incessantes entre les familles A______ et B/C______ donnant lieu à des plaintes pénales réciproques. Dans ces conditions, la culpabilité du mis en cause est de peu d'importance.</w:t>
      </w:r>
    </w:p>
    <w:p>
      <w:r>
        <w:t>- 5/7 - P/12160/2021 Enfin, si D______ a été mise en prévention du chef d'injure, envers notamment B______, pour lui avoir fait un doigt d'honneur assorti de propos blessants, le 10 avril 2019, il n'apparaît pas qu'elle a été condamnée pour ces faits, de sorte que le grief d'inégalité de traitement allégué tombe à faux. Les conditions de l'art. 52 CP étant réalisées, le Ministère public était fondé à renoncer à toute poursuite pénale (art. 310 al. 1 let. c cum art. 8 CPP).</w:t>
      </w:r>
    </w:p>
    <w:p>
      <w:r>
        <w:rPr>
          <w:b/>
        </w:rPr>
        <w:t>E. 4</w:t>
      </w:r>
    </w:p>
    <w:p>
      <w:r>
        <w:t>Le recourant, qui succombe, supportera les frais envers l'État, qui seront fixés en totalité à CHF 900.- (art. 428 al. 1 CPP et 13 al. 1 du Règlement fixant le tarif des frais en matière pénale, RTFMP ; E 4 10.03), émolument de décision compris. * * * *</w:t>
      </w:r>
    </w:p>
    <w:p>
      <w:r>
        <w:t>- 6/7 - P/12160/2021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