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ACPR/648/2018 vom 23. Mai 2018</w:t>
      </w:r>
    </w:p>
    <w:p>
      <w:r>
        <w:t>GE Cour de justice, 2018-05-23, FR</w:t>
      </w:r>
    </w:p>
    <w:p>
      <w:r>
        <w:rPr>
          <w:b/>
        </w:rPr>
        <w:t xml:space="preserve">Quelle: </w:t>
      </w:r>
      <w:r>
        <w:t>https://mcp.opencaselaw.ch/entscheid/ge_gerichte_ACPR_648_2018</w:t>
      </w:r>
    </w:p>
    <w:p>
      <w:r>
        <w:t>FR: GE_GERICHTE ACPR/648/2018 du 23 mai 2018</w:t>
      </w:r>
    </w:p>
    <w:p>
      <w:r>
        <w:t>IT: GE_GERICHTE ACPR/648/2018 del 23 maggio 2018</w:t>
      </w:r>
    </w:p>
    <w:p>
      <w:pPr>
        <w:pStyle w:val="Heading2"/>
      </w:pPr>
      <w:r>
        <w:t>Erwägungen</w:t>
      </w:r>
    </w:p>
    <w:p>
      <w:r>
        <w:rPr>
          <w:b/>
        </w:rPr>
        <w:t>E. 1</w:t>
      </w:r>
    </w:p>
    <w:p>
      <w:r>
        <w:t>Le recours est recevable pour avoir été déposé selon la forme et – faute de date de notification établie (art. 85 al. 2 CPP) – dans le délai prescrits (art. 385 al. 1 et 396 al. 1 CPP), concerner une ordonnance sujette à recours auprès de la Chambre de céans (art. 310 al. 2, 322 al. 3 et 393 al. 1 let a CPP) et émaner des plaignantes qui, parties à la procédure (art. 104 al. 1 let. b CPP), ont qualité pour agir, ayant un intérêt juridiquement protégé à la modification ou à l'annulation de la décision querellée (art. 382 al. 1 CPP), sous l'angle des deux infractions qu'elles invoquent.</w:t>
      </w:r>
    </w:p>
    <w:p>
      <w:r>
        <w:rPr>
          <w:b/>
        </w:rPr>
        <w:t>E. 2</w:t>
      </w:r>
    </w:p>
    <w:p>
      <w:r>
        <w:t>La jurisprudence admet la production de faits et de moyens de preuve nouveaux devant l'instance de recours au moment du dépôt du recours, que le recourant ait été en mesure de les produire en première instance ou non (arrêt du Tribunal fédéral 1B_768/2012 du 15 janvier 2013 consid. 2.1). Le procès-verbal d'audition de l'un des intimés par l'Office des faillites est donc recevable.</w:t>
      </w:r>
    </w:p>
    <w:p>
      <w:r>
        <w:rPr>
          <w:b/>
        </w:rPr>
        <w:t>E. 3</w:t>
      </w:r>
    </w:p>
    <w:p>
      <w:r>
        <w:t>Les recourantes estiment que les organes de la société faillite les ont escroquées et ont fait preuve de gestion fautive, en tout cas à hauteur d'un soupçon justifiant l'ouverture d'une instruction.</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w:t>
      </w:r>
    </w:p>
    <w:p>
      <w:r>
        <w:t>- 5/11 - P/17698/2017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("verantwortlich"), respectivement compétente ("zuständig"), pour le patrimoine du lésé et puisse en disposer, au moins de fait (ATF 133 IV 171 consid. 4.3 p. 175; ATF 128 IV 255 consid. 2e</w:t>
      </w:r>
    </w:p>
    <w:p>
      <w:r>
        <w:t>- 6/11 - P/17698/2017 p. 256 ss.). Dans ce cas, la dupe n'est cependant pas directement lésée (M. NIGGLI / M. HEER / H. WIPRÄCHTIGER (éds), Strafprozessordnung / Jugendstrafprozessordnung, Basler Kommentar StPO/JStPO, 2e éd., Bâle 2014, n. 56 ad art. 115).</w:t>
      </w:r>
    </w:p>
    <w:p>
      <w:r>
        <w:rPr>
          <w:b/>
        </w:rPr>
        <w:t>E. 3.3</w:t>
      </w:r>
    </w:p>
    <w:p>
      <w:r>
        <w:t>Selon l'art. 165 CP, se rend coupable de gestion fautive celui qui, de manières autres que celles visées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alors qu'il avait été déclaré en faillite. Cette disposition est conçue pour les cas d'optimisme déraisonnable et s'applique lorsque l'intention de nuire aux créanciers ne peut pas être prouvée (B. CORBOZ, Les infractions en droit suisse, vol. I, 3e éd., Berne 2010, n. 9 ad art. 165 CP). L'auteur est soit le débiteur lui-même, soit l'une des personnes visées à l'art. 29 CP (arrêt du Tribunal fédéral 6B_1047/2015 du 28 avril 2016 consid. 4.3.).</w:t>
      </w:r>
    </w:p>
    <w:p>
      <w:r>
        <w:rPr>
          <w:b/>
        </w:rPr>
        <w:t>E. 3.4</w:t>
      </w:r>
    </w:p>
    <w:p>
      <w:r>
        <w:t>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L'art. 165 CP ne vise que les fautes de gestion économiques grossières. Ainsi du conseil d'administration qui omet d'aviser le juge lorsque les conditions de l'art. 725 al. 2 CO sont réunies (arrêt du Tribunal fédéral 6B_242/2015 du 6 octobre 2015 consid. 1.3.1.). Par ailleurs, doivent être considérées comme exagérées les dépenses professionnelles effectuées par les dirigeants d'une entreprise en difficulté pour conserver leur train de vie dans le cadre de l'entreprise, comme l'achat ou la location de voitures de service luxueuses ou l'établissement de somptueuses notes de frais pour des repas d'affaires absolument pas nécessaires à la bonne marche de l'entreprise (Y. WERMEILLE, La diminution effective de l'actif au préjudice des créanciers et la gestion fautive, RPS 117/1999 p. 387). Enfin, l'utilisation à la légère de crédits vise le cas du débiteur qui utilise les crédits qui lui ont été accordés en l'absence de tout motif valable, notamment d'ordre économique, et dans un but autre que celui qui avait été initialement décidé (op. cit., p. 389). La grave négligence ne saurait être confondue avec l'inexpérience, le droit pénal n'ayant pas à sanctionner l'incapacité lorsque celle-ci n'est pas fautive (op. cit., p. 390). La survenance d'un risque inhérent à l'activité économique considérée ne signifie pas a posteriori qu'une décision fautive aurait été prise par le débiteur ou par l'organe de la personne morale (ATF 144 IV 52 consid. 7.4 p. 54). L'analyse de la réalisation des éléments constitutifs de</w:t>
      </w:r>
    </w:p>
    <w:p>
      <w:r>
        <w:t>- 7/11 - P/17698/2017 l'infraction laisse au juge une très grande liberté d'appréciation (Y. WERMEILLE, op. cit., p. 385).</w:t>
      </w:r>
    </w:p>
    <w:p>
      <w:r>
        <w:rPr>
          <w:b/>
        </w:rPr>
        <w:t>E. 3.5</w:t>
      </w:r>
    </w:p>
    <w:p>
      <w:r>
        <w:t>En l'espèce, il convient d'examiner en premier lieu si c'est sous l'empire d'une erreur astucieuse que F______, par hypothèse dupé, a mis CHF 200'000.- (de son patrimoine ou de celui de ses alliées) à disposition de la société. À cet égard, les recourantes ne contestent pas les allégations des intimés sur la familiarisation suffisante de F______ avec les questions d'investissement, sur son souhait d'investir personnellement (fût-ce sous le couvert de prête-noms, avec lesquels les intimés n'avaient jamais eu de contact, mais qui ont formellement signé les contrats) et sur son incitation à les faire rejoindre ses locaux professionnels, où tous avaient eu par la suite des contacts réguliers. Par ailleurs, la plainte n'a jamais fait état que d'une "erreur" induite par les intimés au sujet de la situation de la société et des perspectives de développement de cette dernière. On y chercherait en vain des éléments caractérisant une tromperie, qui plus est astucieuse. Les recourantes y affirment que les intimés étaient à la recherche d'investisseurs, qu'ils avaient promis un rendement intéressant et que la situation de la société avait été présentée comme saine (plainte p. 2). Ces éléments – dont elles n'ont pu avoir connaissance que par F______ – n'avaient rien d'astucieux. Au demeurant, le prénommé était en mesure de se faire remettre facilement des informations probantes, telles que, par exemple, les états financiers. Comme cela résulte des pièces remises à la police, et sans réfutation dans l'acte de recours, F______ semble s'être contenté de recevoir, un mois avant la signature des contrats, un inventaire dressé au mois de janvier 2016 qui ne dit rien de la solvabilité ni des perspectives de développement de la société. De plus, les contrats – rédigés en anglais, qui paraît être la langue usitée par F______, à teneur de ses messages électroniques aux intimés – ne comportent aucune garantie ou promesse d'aucune sorte, que ce soit sur la santé financière de G______ SA, l'affectation des fonds ou les expectatives de remboursement. Le premier point n'y figure pas; le deuxième est largement défini ("for its operational and service development costs", selon le résumé; "for its operational costs and other liabilities", selon l'art. 4.2); et le troisième point, qui exclut expressément toute garantie quelconque, est même renforcé par une clause spécifique énonçant un engagement inconditionnel de post-position des deux créances si la société devait tomber sous le coup de l'art. 725 CO. Indiscutablement, ces éléments étaient de nature à attirer l'attention de F______ sur le fait qu'il financerait (ou ferait financer) une jeune pousse, avec la part de risque inhérente à toute société cherchant son essor. Autre est la question de savoir si et comment le prénommé a expliqué cette situation aux recourantes. C'est en vain que les recourantes attirent l'attention sur la notion de capital "circulant" – soit l'ensemble des biens et services utilisés pendant un cycle de production (https://www.insee.fr/fr/ metadonnees/definition/c1477) –, car on ne voit pas en quoi le paiement de</w:t>
      </w:r>
    </w:p>
    <w:p>
      <w:r>
        <w:t>- 8/11 - P/17698/2017 salaires affectés au développement des produits ou solutions informatiques et à l'acquisition de clientèle éloignait G______ SA de la réalisation de ses buts commerciaux. À tout le moins, les recourantes n'en esquissent pas la démonstration. Pour pouvoir prospérer, la société devait à l'évidence compter sur un minimum de personnel. Il faut bien plutôt voir les prêts accordés comme des apports de liquidité, et non comme un investissement, à l'inverse d'une prise de participation, par exemple. Le grief d'escroquerie est par conséquent rejeté, faute d'un élément constitutif de l'infraction.</w:t>
      </w:r>
    </w:p>
    <w:p>
      <w:r>
        <w:rPr>
          <w:b/>
        </w:rPr>
        <w:t>E. 3.6</w:t>
      </w:r>
    </w:p>
    <w:p>
      <w:r>
        <w:t>Le dossier – qui n'est pas réduit aux seules déclarations des intimés, mais comporte de nombreuses pièces, y compris celles remises par ces derniers – ne révèle pas en quoi les prêts auraient été utilisés à la légère, et notamment pas par leur affectation aux charges sociales. Les recourantes ne tentent pas de démontrer en quoi les salaires payés étaient excessifs. Elles ne contestent pas la perte d'un gros client, dont la fin des paiements après avril 2016 paraît suffisamment étayée par les relevés de H______ qu'elles avaient obtenus avant le dépôt de leur plainte. Elles mettent en exergue – dans le recours seulement – une déclaration de l'un des intimés à l'Office des faillites, à teneur de laquelle le surendettement de G______ SA serait né en 2015 (et que le bilan 2015 remis à la police atteste). Ce faisant, elles omettent le passage, quelques lignes plus bas, où le déclarant explique les mesures correctives qui ont été prises avant le dépôt de bilan (avis au juge), le 2 novembre 2016, à savoir la post-position de créances, la diminution des salaires, ainsi que des licenciements. Le premier point est établi, non seulement pour ce qui touche aux prêts litigieux, mais aussi aux créances des actionnaires; et la prise des deux autres mesures n'est pas contestée. Le "commercial" jugé superflu n'a pas repris ses activités après août 2016 et, dès le mois suivant, un des intimés a à son tour connu un arrêt de travail, sans salaire ultérieur (cf. plainte p. 3). Par ailleurs, il ressort de la déclaration à l'Office des faillites, susmentionnée, qu'un bilan intermédiaire a effectivement été dressé à la fin juin 2016. Les recourantes se sont contentées d'alléguer le contraire, sans expliquer ce qui le leur permettait, alors que la police a relevé que l'Office des faillites n'avait pas déposé de dénonciation pénale pour ce qui relevait de ses propres constatations. Pour le surplus, le dossier établit qu'au début août 2016, F______ ignorait d'autant moins le surendettement qu'il entrevoyait la cessation d'activité pour la fin de l'année 2016. En avisant le juge le 2 novembre 2016, les intimés n'ont donc pas fait preuve d'une irresponsabilité grossière qui aurait aggravé la situation de G______ SA Il faut bien plutôt considérer que l'apport de liquidités d'avril 2016 a été rendu nécessaire par l'apparition du surendettement, au bilan 2015, que cet apport s'est</w:t>
      </w:r>
    </w:p>
    <w:p>
      <w:r>
        <w:t>- 9/11 - P/17698/2017 révélé insuffisant en raison du départ d'un client important, qu'un bilan intermédiaire a été rapidement dressé, soit quelques mois après l'arrivée d'argent frais, et que l'avis au juge (art. 725 al. 2 CO) n'a pas tardé, intervenant même avant le délai brandi par F______ pour fermer l'entreprise. Le soupçon de gestion fautive est par conséquent insuffisant, et le grief rejeté.</w:t>
      </w:r>
    </w:p>
    <w:p>
      <w:r>
        <w:rPr>
          <w:b/>
        </w:rPr>
        <w:t>E. 4</w:t>
      </w:r>
    </w:p>
    <w:p>
      <w:r>
        <w:t>Les recourantes, qui succombent dans les conclusions de leurs recours, supporteront, solidairement (art. 418 al. 2 CPP), les frais envers l'État, qui seront fixés en totalité à CHF 1'500.- (art. 428 al. 1 CPP et 13 al. 1 du Règlement fixant le tarif des frais en matière pénale, RTFMP; E 4 10.03), y compris un émolument de décision.</w:t>
      </w:r>
    </w:p>
    <w:p>
      <w:r>
        <w:rPr>
          <w:b/>
        </w:rPr>
        <w:t>E. 5</w:t>
      </w:r>
    </w:p>
    <w:p>
      <w:r>
        <w:t>L'intimé E______, qui a déposé des observations par avocat, n'a pas demandé d'indemnité. * * * * *</w:t>
      </w:r>
    </w:p>
    <w:p>
      <w:r>
        <w:t>- 10/11 - P/17698/2017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