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ACPR/647/2020 vom 8. Mai 2020</w:t>
      </w:r>
    </w:p>
    <w:p>
      <w:r>
        <w:t>GE Cour de justice, 2020-05-08, FR</w:t>
      </w:r>
    </w:p>
    <w:p>
      <w:r>
        <w:rPr>
          <w:b/>
        </w:rPr>
        <w:t xml:space="preserve">Quelle: </w:t>
      </w:r>
      <w:r>
        <w:t>https://mcp.opencaselaw.ch/entscheid/ge_gerichte_ACPR_647_2020</w:t>
      </w:r>
    </w:p>
    <w:p>
      <w:r>
        <w:t>FR: GE_GERICHTE ACPR/647/2020 du 8 mai 2020</w:t>
      </w:r>
    </w:p>
    <w:p>
      <w:r>
        <w:t>IT: GE_GERICHTE ACPR/647/2020 del 8 maggio 2020</w:t>
      </w:r>
    </w:p>
    <w:p>
      <w:pPr>
        <w:pStyle w:val="Heading2"/>
      </w:pPr>
      <w:r>
        <w:t>Erwägungen</w:t>
      </w:r>
    </w:p>
    <w:p>
      <w:r>
        <w:rPr>
          <w:b/>
        </w:rPr>
        <w:t>E. 1</w:t>
      </w:r>
    </w:p>
    <w:p>
      <w:r>
        <w:t>Partie aux procédures P/1______/2020 et P/2______/2020, en tant que partie plaignante (art. 104 al. 1 let. b CPP), le requérant a qualité pour agir (art. 58 al. 1 CPP), et la Chambre de céans est compétente pour connaître de sa requête, dirigée contre un membre du ministère public (art. 59 al. 1 let. b CPP et 128 al. 2 let. a LOJ). Pour avoir agi dans les 10 jours suivant la plus ancienne des deux décisions de non- entrée en matière – dans lesquelles il voit une cause de récusation –, le requérant a agi sans délai, au sens de la loi.</w:t>
      </w:r>
    </w:p>
    <w:p>
      <w:r>
        <w:t>- 3/8 - PS/41/2020</w:t>
      </w:r>
    </w:p>
    <w:p>
      <w:r>
        <w:rPr>
          <w:b/>
        </w:rPr>
        <w:t>E. 2</w:t>
      </w:r>
    </w:p>
    <w:p>
      <w:r>
        <w:t>Le requérant estime que le cité doit être récusé pour le motif prévu à l’art. 56 let. f CPP.</w:t>
      </w:r>
    </w:p>
    <w:p>
      <w:r>
        <w:rPr>
          <w:b/>
        </w:rPr>
        <w:t>E. 2.1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 En la matière, même les apparences peuvent revêtir de l'importance, car il en va de la confiance que les tribunaux d'une société démocratique se doivent d'inspirer aux justiciables (CourEDH, arrêt Kyprianou c/ Chypre du 15 décembre 2005, Recueil CourEDH 2005-XIII p. 113 § 118 ss.). Les motifs de récusation mentionnés à l'art. 56 let. f CPP concrétisent ces garanties. Ils imposent la récusation d'un magistrat lorsqu'il a agi à un autre titre dans la même</w:t>
      </w:r>
    </w:p>
    <w:p>
      <w:r>
        <w:t>- 4/8 - PS/41/2020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du Tribunal fédéral 2C_755/2008 du 7 janvier 2009 = SJ 2009 I 233, concernant l'art. 34 LTF).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1P_334/2002 du 3 mars 2002 = SJ 2003 I 174). Par ailleurs, la procédure de récusation n'a pas pour objet de permettre aux parties de contester la manière dont est menée l'instruction ni de remettre en cause les différentes décisions incidentes prises par la direction de la procédure (ATF 138 IV 142 consid. 2.3 p. 146).</w:t>
      </w:r>
    </w:p>
    <w:p>
      <w:r>
        <w:rPr>
          <w:b/>
        </w:rPr>
        <w:t>E. 2.2</w:t>
      </w:r>
    </w:p>
    <w:p>
      <w:r>
        <w:t>À la lumière de ces principes, la requête n'est pas fondée. Statuer en défaveur d'un justiciable n'est pas en soi la marque d'une inimitié ou d'un manquement à l'impartialité. En ne donnant pas à ses plaintes pénales les issues que le requérant eût attendues, le cité s'est tenu aux devoirs de sa charge et aux compétences que la loi lui confie. En outre, le requérant, quoi qu'il en dise, n'a pas été privé de la possibilité de</w:t>
      </w:r>
    </w:p>
    <w:p>
      <w:r>
        <w:t>- 5/8 - PS/41/2020 contester les deux décisions prises par le cité – et les a d'ailleurs effectivement attaquées. Il n'est pas recevable à s'en prendre à leurs contenus par le détour d'une demande en récusation. Par ailleurs, le dossier de la cause P/2______/2020 établit que le requérant a demandé à consulter les deux procédures le 4 mai 2020; que le cité, sous sa signature personnelle, y a immédiatement consenti; mais que le requérant a été prié par écrit de prendre préalablement rendez-vous. Que la réponse affirmative de cette autorité (par le service des photocopies, et non par le cité) soit parvenue au requérant le 13 mai 2020, comme celui-ci l'affirme, relève tout au plus d'un manque de diligence ou de célérité, mais non d'une volonté personnelle du cité d'empêcher des recours contre ses deux décisions. À cet égard, la brièveté du délai de recours n'est pas due au cité, mais à la loi (cf. art. 396 al. 1 CPP). Le requérant, qui fait état sur son papier à lettre d'une maîtrise en droit et cite doctrine et jurisprudence dans son écriture, ne peut pas prétendre l'avoir ignorée avant d'avoir reçu les refus de suivre à ses plaintes, qui comportaient cette indication. Le requérant est seul responsable si, après avoir reçu la première décision de non-entrée en matière le 29 avril 2020 (ACPR/645/2020 consid. 1), il a laissé s'écouler près de la moitié du délai de recours contre cette décision-là avant de se manifester auprès du Ministère public. Le cité a d'autant moins contribué à quelque entrave que ce soit aux droits procéduraux du requérant qu'il n'a pas notifié ses décisions dans les formes requises, ce qui n'était pas sans incidence sur le déclenchement dudit délai (ou la preuve de son déclenchement), dès lors que le fardeau de la preuve d'une notification incombe à l'autorité, et non au justiciable (ACPR/367/2020 du 4 juin 2020 consid. 3.1.). La requête de récusation est intégralement mal-fondée.</w:t>
      </w:r>
    </w:p>
    <w:p>
      <w:r>
        <w:rPr>
          <w:b/>
        </w:rPr>
        <w:t>E. 3</w:t>
      </w:r>
    </w:p>
    <w:p>
      <w:r>
        <w:t>Le recourant, qui succombe, demande l'exonération des frais judiciaires "au vu de la cause et de sa situation financière". Il n'a cependant pas justifié de celle-ci ni demandé l'assistance judiciaire. Ce nonobstant, l'échec de ses conclusions ne lui donnerait pas droit à l'exemption qu'il réclame, au sens de l'art. 136 al. 2 let. b CPP. En effet, l'octroi de l'assistance judiciaire gratuite est subordonné aux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w:t>
      </w:r>
    </w:p>
    <w:p>
      <w:r>
        <w:t>- 6/8 - PS/41/2020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requérant supportera donc les frais envers l'État, qui seront fixés en totalité à CHF 1'000.- (art. 59 al. 4, 2e phrase, CPP et 13 al. 1 du Règlement fixant le tarif des frais en matière pénale, RTFMP; E 4 10.03).</w:t>
      </w:r>
    </w:p>
    <w:p>
      <w:r>
        <w:t>* * * * *</w:t>
      </w:r>
    </w:p>
    <w:p>
      <w:r>
        <w:t>- 7/8 - PS/41/2020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