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ACPR/645/2025 vom 17. Dezember 2024</w:t>
      </w:r>
    </w:p>
    <w:p>
      <w:r>
        <w:t>GE Cour de justice, 2024-12-17, FR</w:t>
      </w:r>
    </w:p>
    <w:p>
      <w:r>
        <w:rPr>
          <w:b/>
        </w:rPr>
        <w:t xml:space="preserve">Quelle: </w:t>
      </w:r>
      <w:r>
        <w:t>https://mcp.opencaselaw.ch/entscheid/ge_gerichte_ACPR_645_2025</w:t>
      </w:r>
    </w:p>
    <w:p>
      <w:r>
        <w:t>FR: GE_GERICHTE ACPR/645/2025 du 17 décembre 2024</w:t>
      </w:r>
    </w:p>
    <w:p>
      <w:r>
        <w:t>IT: GE_GERICHTE ACPR/645/2025 del 17 dicembre 2024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pièce nouvelle produite devant la juridiction de céans est recevable, la jurisprudence admettant la production de faits et de moyens de preuve nouveaux en deuxième instance (arrêt du Tribunal fédéral 1B_550/2022 du 17 novembre 2022 consid. 2.2).</w:t>
      </w:r>
    </w:p>
    <w:p>
      <w:r>
        <w:rPr>
          <w:b/>
        </w:rPr>
        <w:t>E. 3</w:t>
      </w:r>
    </w:p>
    <w:p>
      <w:r>
        <w:t>Le recourant s'oppose à la désignation de la Prof. C______, assistée d'un médecin- assistant du CURML.</w:t>
      </w:r>
    </w:p>
    <w:p>
      <w:r>
        <w:rPr>
          <w:b/>
        </w:rPr>
        <w:t>E. 3.1</w:t>
      </w:r>
    </w:p>
    <w:p>
      <w:r>
        <w:t>Le ministère public et les tribunaux ont recours à un ou plusieurs experts lorsqu'ils ne disposent pas des connaissances et des capacités nécessaires pour constater ou juger un état de fait (art. 182 CPP). L'expertise judiciaire se définit comme une mesure d'instruction nécessitant des connaissances spéciales ou des investigations complexes, confiée par le juge à un ou plusieurs spécialistes pour qu'il l'informe sur des questions de fait excédant sa compétence technique ou scientifique.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(Y. JEANNERET / A. KUHN / C. PERRIER DEPEURSINGE (éds), Commentaire romand : Code de procédure pénale suisse, 2ème éd., Bâle 2019, n. 1 et 4 ad art. 182).</w:t>
      </w:r>
    </w:p>
    <w:p>
      <w:r>
        <w:rPr>
          <w:b/>
        </w:rPr>
        <w:t>E. 3.2</w:t>
      </w:r>
    </w:p>
    <w:p>
      <w:r>
        <w:t>L'art. 183 al. 1 CPP prévoit que seule peut être désignée comme expert une personne physique qui, dans le domaine concerné, possède les connaissances et les capacités nécessaires pour constater ou juger un état de fait. Une expérience préalable</w:t>
      </w:r>
    </w:p>
    <w:p>
      <w:r>
        <w:t>- 9/13 - P/10374/2020 en matière d'expertise n'est pas exigée (arrêt du Tribunal fédéral 6B_511/2018 du 25 juillet 2018 consid. 5.2.1). L’expert doit être choisi en fonction de ses compétences dans le domaine à propos duquel il est consulté, la loi n’exigeant aucune condition liée à l'obtention de diplômes ou au suivi d'une formation spécifique (JEANNERET / A. KUHN / C. PERRIER DEPEURSINGE (éds), op. cit., n. 2 ad. art. 183).</w:t>
      </w:r>
    </w:p>
    <w:p>
      <w:r>
        <w:rPr>
          <w:b/>
        </w:rPr>
        <w:t>E. 3.3</w:t>
      </w:r>
    </w:p>
    <w:p>
      <w:r>
        <w:t>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 droit de poser des questions complémentaires par la suite, voire de demander une contre-expertise si elles établissent que l'expertise est incomplète, peu claire, ou inexacte (art. 189 CPP; Y. JEANNERET / A. KUHN / C. PERRIER DEPEURSINGE (éds), op. cit., n. 17 ad art. 184).</w:t>
      </w:r>
    </w:p>
    <w:p>
      <w:r>
        <w:rPr>
          <w:b/>
        </w:rPr>
        <w:t>E. 3.4</w:t>
      </w:r>
    </w:p>
    <w:p>
      <w:r>
        <w:t>En l'espèce, le litige porte sur la question de savoir si la désignation de la Prof. C______, assistée d'un médecin-assistant du CURML, remplit les conditions prévues par l'art. 183 al. 1 CPP. À suivre le raisonnement du recourant, la désignation de la précitée serait superflue, sa spécialisation en médecine légale ne lui conférant pas les compétences nécessaires pour se prononcer sur des questions de chirurgie orthopédique, lesquelles relèveraient exclusivement du médecin spécialiste déjà désigné. La loi n'exige toutefois pas que chaque expert dispose, à titre individuel, de l'ensemble des qualifications requises; il suffit que les experts désignés, par la complémentarité de leurs compétences, soient en mesure de répondre de manière adéquate aux questions posées. Tel est manifestement le cas en l'espèce. Le Ministère public a en effet désigné un collège d'experts composé, d'une part, du Dr E______, médecin spécialiste en chirurgie orthopédique et traumatologie – dont les qualifications professionnelles ne sont pas remises en cause – et, d'autre part, de la Prof. C______, chargée d'organiser l'expertise, d'en assurer la coordination et de rédiger le rapport final. Cette dernière a expressément indiqué qu'elle ne se prononcerait pas sur les aspects cliniques de la prise en charge médicale, lesquels relèvent exclusivement du spécialiste mandaté. Elle a précisé qu'elle contribuerait à l'analyse du dossier en accompagnant le co-expert, notamment en clarifiant les notions juridiques et en veillant à la coordination et au bon déroulement de la mission. Selon ses indications, l'expertise sera conduite de manière collégiale, sur la base d'un consensus entre les intervenants.</w:t>
      </w:r>
    </w:p>
    <w:p>
      <w:r>
        <w:t>- 10/13 - P/10374/2020 Les impressions subjectives du recourant ne sauraient suffire à remettre en cause les compétences de l'intéressée, régulièrement mandatée dans le cadre de procédures pénales et disposant des qualifications requises pour mener à bien la mission que le Ministère public entend lui confier. Les allégations générales selon lesquelles elle exercerait une influence sur le contenu de l'expertise, altérerait les conclusions du médecin clinicien ou en atténuerait les nuances ne reposent sur aucun élément objectif et relèvent de pures conjectures. Émettre un pronostic quant à la manière dont l'expertise sera conduite apparaît hors de propos, la question litigieuse étant strictement circonscrite au respect des conditions posées par l'art. 183 CPP. Par ailleurs, le fait que le Tribunal de première instance, dans une procédure civile évoquée par le recourant, ait fondé sa décision sur certaines conclusions d'une expertise ergothérapeutique privée, plutôt que sur celles rendues par la Prof. C______ et de son co-expert, ne permet nullement de remettre en cause la désignation de l'intéressée dans la présente procédure. Les critiques formulées par l'autorité civile à l'égard de l'expertise à laquelle la Prof. C______ avait participé, dans un contexte et un domaine de spécialisation distincts, ne sauraient préjuger de la qualité de l'expertise à établir dans la présente cause. En outre, le fait que la médecin-légiste soit fréquemment désignée en qualité d'experte ne saurait constituer, en soi, un indice d'irrégularité, mais traduit, au contraire, la reconnaissance de son expertise. Ce grief apparaît au demeurant exorbitant à l'objet du litige. Pour le surplus, on ne discerne pas en quoi la participation d'un médecin-assistant du CURML, en appui à la Prof. C______, serait de nature à remettre en cause l'adéquation du collège d'experts désignés, étant rappelé que seul le Dr E______ se prononcera sur les aspects médicaux spécifiques à la prise en charge de la plaignante. Le fait que cet assistant ne dispose pas de compétences en chirurgie orthopédique et traumatologie est ainsi sans pertinence. Il conviendra toutefois que son identité soit communiquée préalablement aux parties, afin qu'elles puissent s'assurer de l'absence de tout motif de récusation. Enfin, les critiques relatives aux coûts de l'expertise excèdent manifestement le cadre du litige. En définitive, aucun élément ne permet objectivement de remettre en cause les connaissances et compétences des experts désignés, qui, ensemble, réunissent les qualifications nécessaires pour mener à bien l'expertise. La décision du Ministère public ne prête, dès lors, pas le flanc à la critique. Le recours est donc infondé.</w:t>
      </w:r>
    </w:p>
    <w:p>
      <w:r>
        <w:t>- 11/13 - P/10374/2020</w:t>
      </w:r>
    </w:p>
    <w:p>
      <w:r>
        <w:rPr>
          <w:b/>
        </w:rPr>
        <w:t>E. 4</w:t>
      </w:r>
    </w:p>
    <w:p>
      <w:r>
        <w:t>Le recourant laisse entendre, dans son courrier du 7 juillet 2025, qu'il sollicite la récusation de la Prof. C______, sans toutefois la requérir formellement, de sorte qu'il n'y a pas lieu d'entrer en matière sur ce point.</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- 12/13 - P/10374/2020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