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ACPR/645/2019 vom 6. Mai 2019</w:t>
      </w:r>
    </w:p>
    <w:p>
      <w:r>
        <w:t>GE Cour de justice, 2019-05-06, FR</w:t>
      </w:r>
    </w:p>
    <w:p>
      <w:r>
        <w:rPr>
          <w:b/>
        </w:rPr>
        <w:t xml:space="preserve">Quelle: </w:t>
      </w:r>
      <w:r>
        <w:t>https://mcp.opencaselaw.ch/entscheid/ge_gerichte_ACPR_645_2019</w:t>
      </w:r>
    </w:p>
    <w:p>
      <w:r>
        <w:t>FR: GE_GERICHTE ACPR/645/2019 du 6 mai 2019</w:t>
      </w:r>
    </w:p>
    <w:p>
      <w:r>
        <w:t>IT: GE_GERICHTE ACPR/645/2019 del 6 maggio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Tribunal de police de ne pas avoir retenu que les conditions d'octroi d'une défense d'office étaient en l'espèce réalisées.</w:t>
      </w:r>
    </w:p>
    <w:p>
      <w:r>
        <w:rPr>
          <w:b/>
        </w:rPr>
        <w:t>E. 2.1</w:t>
      </w:r>
    </w:p>
    <w:p>
      <w:r>
        <w:t>En dehors des cas de défense obligatoire, qui ne concernent pas le présent cas,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En tout état de cause, une affaire n'est pas de peu de gravité lorsque le prévenu est passible d'une peine privative de liberté de plus de 4 mois ou d'une peine pécuniaire de plus de 120 jours-amende (art. 132 al. 3 CPP). Ainsi, la désignation d'un défenseur d'office est en tout cas nécessaire lorsque le prévenu est exposé à une longue peine privative de liberté ou qu'il est menacé d'une peine qui ne peut être assortie du sursis (ATF 129 I 281 consid. 3.1). Dans sa jurisprudence publiée, le Tribunal fédéral a retenu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 sursis (ATF 129 I 281 consid. 3.1 p. 285). Pour décider de l'intensité de la gravité d'un cas donné, le juge ne doit pas se référer à la peine théorique maximale applicable aux infractions reprochées au prévenu, mais à celle qui pourrait raisonnablement être prononcée en fonction des circonstances concrètes de la procédure (ATF 120 Ia 43 consid 2b; arrêt 1P_627/2002 du 4 mars 2003 consid. 3.1 reproduit in Pra 2004 n° 1 p. 4).</w:t>
      </w:r>
    </w:p>
    <w:p>
      <w:r>
        <w:t>- 5/7 - P/19591/2018</w:t>
      </w:r>
    </w:p>
    <w:p>
      <w:r>
        <w:rPr>
          <w:b/>
        </w:rPr>
        <w:t>E. 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 À teneur de l'art. 115 al. 1 LEI est puni d'une peine privative de liberté d'un an au plus ou d'une peine pécuniaire quiconque contrevient aux dispositions sur l'entrée en Suisse (let. a) ou séjourne illégalement en Suisse, notamment après l'expiration de la durée du séjour non soumis à autorisation ou du séjour autorisé (let. b). Le Tribunal fédéral a précisé que l'art. 115 al. 1 let. b LEtr doit être interprété conformément à la jurisprudence de la Cour de justice de l'Union européenne (CJUE) en rapport avec la Directive sur le retour. Cette dernière poursuit la mise en place d'une politique efficace d'éloignement et de rapatriement fondée sur des normes communes, afin que les personnes concernées soient rapatriées de façon humaine et dans le respect intégral de leurs droits fondamentaux ainsi que leur dignité. Selon la jurisprudence européenne, une peine d'emprisonnement pour séjour illégal ne peut être infligée à un ressortissant étranger que si la procédure administrative de renvoi a été menée à son terme sans succès et que le ressortissant étranger demeure sur le territoire sans motif justifié de non- retour. La Cour de justice de l'Union européenne a toutefois souligné que les ressortissants étrangers ayant, outre le séjour irrégulier, commis un ou plusieurs autres délits pouvaient, dans les hypothèses visées par l'art. 2 par. 2 let. b de la Directive sur le retour, c'est-à-dire en cas d'expulsion judiciaire prononcée comme sanction pénale ou de procédure d'extradition, être soustraits au champ d'application de ladite directive (arrêts du Tribunal fédéral 6B_196/2012 du 24 janvier 2013 consid. 2.1.1 ; 6B_320/2013 du 29 août 2013 consid. 3.2 et les références citées).</w:t>
      </w:r>
    </w:p>
    <w:p>
      <w:r>
        <w:rPr>
          <w:b/>
        </w:rPr>
        <w:t>E. 2.3</w:t>
      </w:r>
    </w:p>
    <w:p>
      <w:r>
        <w:t>En l'espèce, le prévenu étant manifestement indigent, ce que le Tribunal de police ne conteste pas, il reste à déterminer si l'assistance d'un défenseur était justifiée pour sauvegarder les intérêts du recourant.</w:t>
      </w:r>
    </w:p>
    <w:p>
      <w:r>
        <w:t>- 6/7 - P/19591/2018 Lorsque le recourant a sollicité la nomination d'un défenseur d'office, le 2 mai 2019, le Ministère public l'avait condamné à une peine privative de liberté de 120 jours par ordonnance pénale sans l'expulsion facultative. Il n'y a pas lieu de penser que le Tribunal de police prononcerait une peine plus lourde ni cette mesure. Cependant, la peine envisagée est à la limite du cas grave. S'agissant du critère de la complexité de la cause, le prévenu est poursuivi une quatrième fois pour infraction à la LEI, de sorte que l'application de la Directive sur le retour doit être analysée. Il en résulte que la cause présente une complexité sur le plan juridique que le recourant ne peut surmonter sans l'aide d'un défenseur et que la peine à laquelle il a été condamné frôle le seuil légal du cas grave. Il convient dès lors qu'il soit assisté d'un conseil juridique. Fondé, le recours doit être admis ; partant, l'ordonnance querellée sera annulée. La Chambre de céans, en application de l'art. 397 al. 2 CPP, rendra une nouvelle décision par laquelle elle désignera Me B______ comme défenseur d'office du prévenu pour la présente procédure, aucun motif ne s'opposant à la nomination du défenseur que le recourant s'est choisi.</w:t>
      </w:r>
    </w:p>
    <w:p>
      <w:r>
        <w:rPr>
          <w:b/>
        </w:rPr>
        <w:t>E. 3</w:t>
      </w:r>
    </w:p>
    <w:p>
      <w:r>
        <w:t>La procédure est gratuite (art. 20 RAJ). * * * * *</w:t>
      </w:r>
    </w:p>
    <w:p>
      <w:r>
        <w:t>- 7/7 - P/19591/2018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