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ACPR/643/2020 vom 2. Juli 2020</w:t>
      </w:r>
    </w:p>
    <w:p>
      <w:r>
        <w:t>GE Cour de justice, 2020-07-02, FR</w:t>
      </w:r>
    </w:p>
    <w:p>
      <w:r>
        <w:rPr>
          <w:b/>
        </w:rPr>
        <w:t xml:space="preserve">Quelle: </w:t>
      </w:r>
      <w:r>
        <w:t>https://mcp.opencaselaw.ch/entscheid/ge_gerichte_ACPR_643_2020</w:t>
      </w:r>
    </w:p>
    <w:p>
      <w:r>
        <w:t>FR: GE_GERICHTE ACPR/643/2020 du 2 juillet 2020</w:t>
      </w:r>
    </w:p>
    <w:p>
      <w:r>
        <w:t>IT: GE_GERICHTE ACPR/643/2020 del 2 luglio 2020</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reproche au JMin d'avoir considéré qu'il était majeur, sans ordonner préalablement d'expertise d'âge.</w:t>
      </w:r>
    </w:p>
    <w:p>
      <w:r>
        <w:rPr>
          <w:b/>
        </w:rPr>
        <w:t>E. 2.1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w:t>
      </w:r>
    </w:p>
    <w:p>
      <w:r>
        <w:t>- 5/7 - P/888/2020 l'administration de la preuve sollicitée ne peut plus modifier sa conviction (ATF 136 I 229 consid. 5.3 p. 236; 121 I 306 consid. 1b p. 308; arrêt du Tribunal fédéral 1B_112/2012 du 6 décembre 2012 consid. 2.1; arrêt de la Cour européenne des droits de l'homme dans la cause Ubach Mortes Antoni c. Andorre du 4 mai 2000, Recueil CourEDH 2000-V p. 469 § 2).</w:t>
      </w:r>
    </w:p>
    <w:p>
      <w:r>
        <w:rPr>
          <w:b/>
        </w:rPr>
        <w:t>E. 2.3</w:t>
      </w:r>
    </w:p>
    <w:p>
      <w:r>
        <w:t>En l'espèce, le recourant allègue être né le ______ 2004 et avoir eu, dès lors, 15, puis 16 ans lors de ses arrestations successives à Genève. Il a produit, pour seule attestation de cette date de naissance, une copie d'un acte de naissance. Il convient toutefois de constater que, le recourant étant dépourvu de papiers d'identité, aucun élément ne permet de le lier à ce document. Il a, en outre, entretenu une certaine confusion quant à son âge et son identité. En effet, alors qu'il a affirmé par devant le JMin être connu des autorités espagnoles sous le même nom et la même date de naissance que ceux donnés aux autorités suisses, l'instruction, menée en raison du doute du JMin quant à sa minorité, a révélé que le recourant était, en réalité, connu dans ce pays, non pas sous le nom de A______, mineur, mais sous l'identité de C______, né le ______ 1994, portant son âge à 26 ans, soit 10 ans de plus que celui annoncé au JMin. Il est également ressorti de l'enquête que le recourant avait formulé une demande d'asile aux Pays-Bas sous le nom de D______, né le ______ 2001. Le recourant ne conteste plus avoir annoncé ces dates, expliquant toutefois avoir fait des déclarations, inexactes, de circonstances. Il est cependant invraisemblable qu'il ait fourni des dates de naissance le faisant apparaître comme majeur, ce alors qu'il cherchait à trouver asile, ou à tout le moins refuge, dans ces pays, le fait d'être majeur n'étant pas de nature à le protéger d'avantage d'une expulsion, bien au contraire. Ainsi, dans ces circonstances, le JMin a librement apprécié les preuves à sa disposition et pouvait, sur la base des éléments en sa possession, se dessaisir de la procédure en faveur du Ministère public, sans ordonner d'expertise d'âge. Justifiée, l'ordonnance querellée sera donc confirmée.</w:t>
      </w:r>
    </w:p>
    <w:p>
      <w:r>
        <w:rPr>
          <w:b/>
        </w:rPr>
        <w:t>E. 3</w:t>
      </w:r>
    </w:p>
    <w:p>
      <w:r>
        <w:t>Le recourant, qui succombe, supportera, bien qu'au bénéfice de l'assistance juridique, les frais de la procédure de recours (art. 428 al. 1 CPP ; arrêt du Tribunal fédéral 1B_203/2011 du 18 mai 2011 consid. 4), qui seront fixés en totalité à CHF 400.- (art. 13 al. 1 du Règlement fixant le tarif des frais en matière pénale, RTFMP ; E 4 10.03).</w:t>
      </w:r>
    </w:p>
    <w:p>
      <w:r>
        <w:rPr>
          <w:b/>
        </w:rPr>
        <w:t>E. 4</w:t>
      </w:r>
    </w:p>
    <w:p>
      <w:r>
        <w:t>L'indemnité du défenseur d'office du recourant sera fixée à la fin de la procédure (art. 135 al. 2 CPP). * * * * *</w:t>
      </w:r>
    </w:p>
    <w:p>
      <w:r>
        <w:t>- 6/7 - P/888/2020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