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ACPR/641/2023 vom 6. Juli 2023</w:t>
      </w:r>
    </w:p>
    <w:p>
      <w:r>
        <w:t>GE Cour de justice, 2023-07-06, FR</w:t>
      </w:r>
    </w:p>
    <w:p>
      <w:r>
        <w:rPr>
          <w:b/>
        </w:rPr>
        <w:t xml:space="preserve">Quelle: </w:t>
      </w:r>
      <w:r>
        <w:t>https://mcp.opencaselaw.ch/entscheid/ge_gerichte_ACPR_641_2023</w:t>
      </w:r>
    </w:p>
    <w:p>
      <w:r>
        <w:t>FR: GE_GERICHTE ACPR/641/2023 du 6 juillet 2023</w:t>
      </w:r>
    </w:p>
    <w:p>
      <w:r>
        <w:t>IT: GE_GERICHTE ACPR/641/2023 del 6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w:t>
      </w:r>
    </w:p>
    <w:p>
      <w:r>
        <w:t>- 10/15 - P/15626/2022 ayant un intérêt juridiquement protégé à la modification ou à l'annulation de la décision querellée (art. 382 al. 1 CPP).</w:t>
      </w:r>
    </w:p>
    <w:p>
      <w:r>
        <w:rPr>
          <w:b/>
        </w:rPr>
        <w:t>E. 2</w:t>
      </w:r>
    </w:p>
    <w:p>
      <w:r>
        <w:t>Le recourant ne consacre pas une ligne à l’existence de charges suffisantes contre lui, sauf à dire avoir reconnu avoir entretenu une relation emprunte de violence avec la plaignante et avoir, au fil de la procédure, admis une majorité des faits reprochés. Il n’y a donc pas à examiner ce point (art. 385 al. 1 let. a CPP).</w:t>
      </w:r>
    </w:p>
    <w:p>
      <w:r>
        <w:rPr>
          <w:b/>
        </w:rPr>
        <w:t>E. 3</w:t>
      </w:r>
    </w:p>
    <w:p>
      <w:r>
        <w:t>Le recourant conteste les risques de collusion et de réitération.</w:t>
      </w:r>
    </w:p>
    <w:p>
      <w:r>
        <w:rPr>
          <w:b/>
        </w:rPr>
        <w:t>E. 3.1</w:t>
      </w:r>
    </w:p>
    <w:p>
      <w:r>
        <w:t>Selon l'art. 221 al. 1 let. b CPP, applicable aux mesures de substitution par renvoi de l'art. 237 al. 4 CPP, la détention provisoire ne peut être ordonnée que lorsqu'il y a sérieusement lieu de craindre que le prévenu compromette la recherche de la vérité en exerçant une influence sur des personnes ou en altérant des moyens de preuves.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3.2.2 ; arrêt du Tribunal fédéral 1B_687/2021 du 11 janvier 2022 consid. 4.1).</w:t>
      </w:r>
    </w:p>
    <w:p>
      <w:r>
        <w:rPr>
          <w:b/>
        </w:rPr>
        <w:t>E. 3.2</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w:t>
      </w:r>
    </w:p>
    <w:p>
      <w:r>
        <w:t>- 11/15 - P/15626/2022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3.3</w:t>
      </w:r>
    </w:p>
    <w:p>
      <w:r>
        <w:t>En l'espèce, le recourant fait déjà l'objet d'une précédente condamnation pour lésions corporelles simples aggravées. Il est par ailleurs prévenu, notamment, de tentative de meurtre son ex-compagne, laquelle était enceinte. Il convient, en outre, de constater que le recourant témoigne d'une absence de prise de conscience de la gravité des faits qui lui sont reprochés par sa persistance à vouloir réinvestir D______ comme centre de vie, à continuer à payer le loyer de son logement, sans en avoir les moyens, cessant toute activité sportive et laissant entendre qu'il ne reprendrait la boxe qu'au M______ de la rue 6______, alors que la victime vit dans le même quartier. Le prévenu allègue une prise de conscience entamée lors de sa détention provisoire. Or, c'est peu après avoir été mis en liberté qu'il a récidivé et les actes qui lui sont reprochés sont d'une gravité plus grande. S'il assume une "part de responsabilité", il n'hésite pas à en reporter une partie sur son ex-compagne. En outre, il est capable de colère et de violence telles qu'il ne semble pas que la thérapie entamée – à supposer qu'elle soit encore régulièrement suivie – soit suffisante à réduire le risque de nouveaux débordements. De plus, l'intéressé ne fait pas montre, contrairement à ce qu'il soutient, d'une réelle prise en main de sa vie professionnelle au point de réduire le risque de récidive. Il avait cessé son emploi chez P______, par manque d'engouement; et n'aurait qu'un emploi de durée déterminée et sur appel chez Q______, au sujet duquel aucun document n'a été produit et dont on ignore s'il est encore d'actualité. Il existe donc un risque concret de réitération. Le risque de collusion est également concret dans la mesure où le prévenu a déjà fait pression sur la victime pour qu'elle retire sa plainte, et pour ce faire n'a pas hésité à se rendre aux urgences des HUG et y dérober des tenues de médecins pour pénétrer</w:t>
      </w:r>
    </w:p>
    <w:p>
      <w:r>
        <w:t>- 12/15 - P/15626/2022 dans la chambre de la jeune femme. Le prévenu, qui n'a pas admis l'entier des faits reprochés, pourrait à nouveau tenter d'influencer celle-ci.</w:t>
      </w:r>
    </w:p>
    <w:p>
      <w:r>
        <w:rPr>
          <w:b/>
        </w:rPr>
        <w:t>E. 4</w:t>
      </w:r>
    </w:p>
    <w:p>
      <w:r>
        <w:t>Le recourant se plaint d'une violation du principe de la proportionnalité.</w:t>
      </w:r>
    </w:p>
    <w:p>
      <w:r>
        <w:rPr>
          <w:b/>
        </w:rPr>
        <w:t>E. 4.1</w:t>
      </w:r>
    </w:p>
    <w:p>
      <w:r>
        <w:t>Pour être conforme au principe de la proportionnalité, une restriction d'un droit fondamental doit être apte à produire les résultats escomptés (règle de l'aptitude), et il faut que ceux-ci ne puissent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ATF 143 I 403 consid. 5.6.3). En vertu du principe de proportionnalité ancré à l'art. 36 al. 3 Cst., l'autorité doit tenter autant que possible de substituer à la détention toute autre mesure moins incisive propre à atteindre le même résultat (ATF 133 I 270 consid. 2.2). Le Code de procédure pénale le prévoit expressément à l'art. 237, en énumérant, de manière non exhaustive (cf. ATF 142 IV 367 consid. 2.1), certaines mesures de substitution, notamment l'interdiction de se rendre dans un certain lieu ou un certain immeuble (let. c) ou l'interdiction d'entretenir des relations avec certaines personnes (let. g). Une interdiction de travailler est également abordée en doctrine, par exemple lorsque l'infraction reprochée est en lien avec la place de travail ou avec la profession du prévenu (Y. JEANNERET / A. KUHN / C. PERRIER DEPEURSINGE [éds], Commentaire romand : Code de procédure pénale suisse, 2e éd., Bâle 2019, n. 14c ad art. 237). Conformément à l'art. 237 al. 5 CPP, le tribunal peut en tout temps révoquer les mesures de substitution, en ordonner d'autres ou prononcer la détention provisoire si des faits nouveaux l'exigent ou si le prévenu ne respecte pas les obligations qui lui ont été imposées. Le tribunal compétent dispose dans ce cadre d'un large pouvoir d'appréciation, comme cela ressort de la formulation potestative de la loi (arrêt du Tribunal fédéral 1B_485/2019 du 12 novembre 2019 consid. 3.1).</w:t>
      </w:r>
    </w:p>
    <w:p>
      <w:r>
        <w:rPr>
          <w:b/>
        </w:rPr>
        <w:t>E. 4.2</w:t>
      </w:r>
    </w:p>
    <w:p>
      <w:r>
        <w:t>S'agissant de l'atteinte aux intérêts du recourant engendrée par les mesures de substitution critiquées, on ne voit pas qu'elle soit plus intense aujourd'hui que lors du prononcé des allègements auxquels le recourant a lui-même souscrit. Certes, le loyer de l'appartement à D______ représente un surcoût pour le recourant, mais il pourrait résilier le bail ou solliciter de le sous-louer. Les désagréments liés au fait qu'il ne peut pas se rendre à sa salle de sport [situé dans la commune de] D______ apparaissent dérisoires dans la mesure où il pourrait se rendre ailleurs pour s'entraîner. Enfin, il n'avait pas respecté l'interdiction de se rendre à D______ et de s'abstenir de tout contact avec la plaignante lors de sa première mise en liberté avec des mesures de substitution.</w:t>
      </w:r>
    </w:p>
    <w:p>
      <w:r>
        <w:t>- 13/15 - P/15626/2022 À cette aune, une nouvelle prolongation des mesures de substitution d'une durée de six mois n'apparait donc pas disproportionnée, celle-ci s'avérant toujours nécessaire au vu des risques concrets de collusion et de réitération qui perdurent.</w:t>
      </w:r>
    </w:p>
    <w:p>
      <w:r>
        <w:rPr>
          <w:b/>
        </w:rPr>
        <w:t>E. 5</w:t>
      </w:r>
    </w:p>
    <w:p>
      <w:r>
        <w:t>Le recours s'avère ainsi infondé et doit être rejeté.</w:t>
      </w:r>
    </w:p>
    <w:p>
      <w:r>
        <w:rPr>
          <w:b/>
        </w:rPr>
        <w:t>E. 6</w:t>
      </w:r>
    </w:p>
    <w:p>
      <w:r>
        <w:t>Le recourant plaide au bénéfice d'une défense d'office.</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6.2</w:t>
      </w:r>
    </w:p>
    <w:p>
      <w:r>
        <w:t>En l'occurrence, le recours est le premier à être dirigé contre les mesures de substitution de sorte que l'on peut admettre qu'il ne procède pas d'un abus. L’indemnité du défenseur d’office sera cependant fixée à la fin de la procédure (art. 135 al. 2 CPP).</w:t>
      </w:r>
    </w:p>
    <w:p>
      <w:r>
        <w:rPr>
          <w:b/>
        </w:rPr>
        <w:t>E. 7</w:t>
      </w:r>
    </w:p>
    <w:p>
      <w:r>
        <w:t>N’obtenant pas gain de cause, le recourant supportera les frais de la procédure de recours fixés en totalité à CHF 900.-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 * * * *</w:t>
      </w:r>
    </w:p>
    <w:p>
      <w:r>
        <w:t>- 14/15 - P/15626/2022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