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ACPR/640/2024 vom 11. August 2024</w:t>
      </w:r>
    </w:p>
    <w:p>
      <w:r>
        <w:t>GE Cour de justice, 2024-08-11, FR</w:t>
      </w:r>
    </w:p>
    <w:p>
      <w:r>
        <w:rPr>
          <w:b/>
        </w:rPr>
        <w:t xml:space="preserve">Quelle: </w:t>
      </w:r>
      <w:r>
        <w:t>https://mcp.opencaselaw.ch/entscheid/ge_gerichte_ACPR_640_2024</w:t>
      </w:r>
    </w:p>
    <w:p>
      <w:r>
        <w:t>FR: GE_GERICHTE ACPR/640/2024 du 11 août 2024</w:t>
      </w:r>
    </w:p>
    <w:p>
      <w:r>
        <w:t>IT: GE_GERICHTE ACPR/640/2024 del 11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soupçons pesant sur lui sont insuffisants pour justifier une détention provisoire.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 été surpris par la police alors qu'il se trouvait, en compagnie de D______, dans un appartement – qui n'est pas le domicile du précité – contenant de la drogue destinée à la vente – soit quelque 60 grammes brut de cocaïne, 15 pilules d'ecstasy et 10 grammes brut de MDMA –, du matériel de</w:t>
      </w:r>
    </w:p>
    <w:p>
      <w:r>
        <w:t>- 6/10 - P/18405/2024 conditionnement (une balance et des sachets) et des valeurs, notamment CHF 2'640.-. La police avait, avant d'entrer dans l'appartement, observé, par la fenêtre, D______ qui conditionnait la drogue. Lors de l'intervention de la police, le recourant a lâché les stupéfiants qu'il tenait à la main. En outre, le recourant, dont l'activité de vente de véhicules d'occasion en Afrique ne lui permet pas de subvenir à ses besoins, détenait sur lui CHF 1'161.75, EUR 903.42 et GBP 50.-. Deux clients se sont rendus à l'appartement pour y acheter de la drogue auprès de D______, le premier lorsque le recourant arrivait et le second durant la perquisition de la police. Ces circonstances permettent de soupçonner que l'appartement abritait un important trafic de stupéfiants. Elles suffisent à faire peser sur le recourant de forts soupçons de participation audit trafic, puisque, surpris dans ce logement, il tenait de la drogue à la main et était en possession de valeurs excédant ses revenus. En outre, il n'avait pas cheminé avec D______ en sortant du bus, ce qui paraît surprenant au vu de leur lien d'amitié allégué. Qu'il n'ait, contrairement à ce que semble retenir le TMC, pas été mis en cause par les acheteurs, lesquels ont déclaré être des clients de D______, ne modifie en rien ce constat. Pour sa part, le recourant explique s'être rendu dans cet appartement pour y discuter avec son ami D______, en ne sachant pas "si c'est un trafiquant". La drogue qu'il détenait sur lui, et tenait à la main lors de l'arrivée de la police, était destinée à sa propre consommation et celle d'amis, prévue dans les jours suivants, à Zurich, lors de J______. Cela étant, et contrairement à ce qu'allègue le recourant, ces explications ne sont pas de nature à amoindrir les soupçons qui pèsent sur lui, à ce stade de la procédure. L'instruction – soit, dans un premier temps, la confrontation des prévenus et l'analyse des téléphones portables du recourant –, permettra soit de confirmer, voire alourdir, les charges, soit de valider la version du recourant et, donc, de diminuer l'intensité des soupçons. En l'état, toutefois, ils suffisent, pour les raisons expliquées, à justifier la détention provisoire, au sens de l'art. 221 al. 1 CPP.</w:t>
      </w:r>
    </w:p>
    <w:p>
      <w:r>
        <w:rPr>
          <w:b/>
        </w:rPr>
        <w:t>E. 3</w:t>
      </w:r>
    </w:p>
    <w:p>
      <w:r>
        <w:t>Le recourant conteste tout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w:t>
      </w:r>
    </w:p>
    <w:p>
      <w:r>
        <w:t>- 7/10 - P/18405/2024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à ce stade précoce de l'instruction, il est nécessaire que le recourant ne puisse pas entrer en contact avec les personnes impliquées dans le trafic de stupéfiants, qui vient d'être mis à jour. Qu'il ait fourni aux enquêteurs l'accès à ses téléphones portables, saisis, ne suffit pas à l'empêcher de parler, de vive voix, aux éventuels autres participants ou clients – pour certains habitués à se rendre à l'appartement –, et donc de les influencer. L'analyse du contenu de ses téléphones portables n'ayant pas encore eu lieu, il ne suffit pas au recourant d'avoir remis ses codes d'accès pour supprimer tout risque de collusion, puisque, à ce stade, les enquêteurs ignorent le contenu des conversations téléphoniques (WhatsApp, SMS, etc.) du recourant et ses destinataires. En l'état, le risque de compromettre la recherche de la vérité est, ainsi, très élevé, et la libération du recourant pourrait mettre à mal les mesures d'instruction ordonnées. C'est ainsi à bon droit que l'ordonnance querellée a retenu l'existence d'un risque de collusion.</w:t>
      </w:r>
    </w:p>
    <w:p>
      <w:r>
        <w:rPr>
          <w:b/>
        </w:rPr>
        <w:t>E. 4</w:t>
      </w:r>
    </w:p>
    <w:p>
      <w:r>
        <w:t>Le risque de collusion étant réalisé, l'autorité de recours peut se dispenser d'examiner si un autre risque – alternatif – l'est également (arrêt du Tribunal fédéral 7B_188/2024 du 12 mars 2024 consid. 6.3.1).</w:t>
      </w:r>
    </w:p>
    <w:p>
      <w:r>
        <w:rPr>
          <w:b/>
        </w:rPr>
        <w:t>E. 5</w:t>
      </w:r>
    </w:p>
    <w:p>
      <w:r>
        <w:t>Le recourant reproche au TMC de ne pas avoir ordonné de mesures de substitution en lieu et place de la détention.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l'assignation à résidence ou l'interdiction de se rendre dans un certain lieu ou un certain immeuble (al. 2 let. c), l'obligation de se présenter régulièrement à un service administratif (al. 2 let. d) et l'interdiction d'entretenir des relations avec certaines personnes (al. 2 let. g).</w:t>
      </w:r>
    </w:p>
    <w:p>
      <w:r>
        <w:t>- 8/10 - P/18405/2024</w:t>
      </w:r>
    </w:p>
    <w:p>
      <w:r>
        <w:rPr>
          <w:b/>
        </w:rPr>
        <w:t>E. 5.2</w:t>
      </w:r>
    </w:p>
    <w:p>
      <w:r>
        <w:t>En l'espèce, une éventuelle interdiction d'entrer en contact avec les personnes concernées par le trafic de stupéfiants – que le recourant ne propose au demeurant pas – serait, à ce stade, inopérante puisqu'on ignore l'identité de ces personnes. Une telle mesure paraît en outre particulièrement difficile à contrôler, compte tenu du nombre d'individus potentiellement concernés, et ne permet pas, en l'état, de pallier le risque d'atteinte à la recherche de la vérité. Les (autres) mesures proposées par le recourant visent à pallier l'éventuel risque de fuite, et non celui, concerné ici, de collusion.</w:t>
      </w:r>
    </w:p>
    <w:p>
      <w:r>
        <w:rPr>
          <w:b/>
        </w:rPr>
        <w:t>E. 6</w:t>
      </w:r>
    </w:p>
    <w:p>
      <w:r>
        <w:t>Compte tenu de la gravité des charges retenues, la détention provisoire ordonnée ne viole pas le principe de la proportionnalité (art. 197 al. 1 et 212 al. 3 CPP).</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Malgré l'issue du recours, un premier contrôle des conditions de l'art. 221 CPP par l'autorité de recours pouvait se justifier en début de détention. L'indemnité du défenseur d'office sera fixée à la fin de la procédure (art. 135 al. 2 CPP). * * * * *</w:t>
      </w:r>
    </w:p>
    <w:p>
      <w:r>
        <w:t>- 9/10 - P/18405/2024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