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ACPR/639/2024 vom 27. Mai 2024</w:t>
      </w:r>
    </w:p>
    <w:p>
      <w:r>
        <w:t>GE Cour de justice, 2024-05-27, FR</w:t>
      </w:r>
    </w:p>
    <w:p>
      <w:r>
        <w:rPr>
          <w:b/>
        </w:rPr>
        <w:t xml:space="preserve">Quelle: </w:t>
      </w:r>
      <w:r>
        <w:t>https://mcp.opencaselaw.ch/entscheid/ge_gerichte_ACPR_639_2024</w:t>
      </w:r>
    </w:p>
    <w:p>
      <w:r>
        <w:t>FR: GE_GERICHTE ACPR/639/2024 du 27 mai 2024</w:t>
      </w:r>
    </w:p>
    <w:p>
      <w:r>
        <w:t>IT: GE_GERICHTE ACPR/639/2024 del 27 maggio 2024</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 1.2.1. Une partie plaignante n'a qualité pour agir, fondée sur un intérêt juridiquement protégé à la modification ou à l'annulation de la décision querellée (art. 382 al. 1 CPP), que pour autant qu'elle soit directement et personnellement lésée par l'infraction dénoncée (art. 115 al. 1 CPP), ce qui implique en principe qu'elle soit titulaire du bien juridiquement protégé par cette dernière (arrêt du Tribunal fédéral 1B_678/2011 du 30 janvier 2012 consid. 2.1). Il convient donc d'interpréter le texte de l'infraction pour en déterminer le titulaire et ainsi savoir qui a qualité de lésé (ATF 118 IV 209 consid. 2). 1.2.2. S'agissant en particulier d'infractions contre le patrimoine – au nombre desquelles figure la gestion déloyale –, le propriétaire des valeurs patrimoniales est considéré comme la personne lésée (arrêts 1B_18/2018 du 19 avril 2018 consid. 2.1; 1B_191/2014 du 14 août 2014 consid. 3.1; 1B_104/2013 du 13 mai 2013 consid. 2.2). Il en résulte notamment que, lorsqu'une infraction est perpétrée au détriment du patrimoine d'une personne morale, seule celle-ci subit un dommage et peut prétendre à la qualité de lésé, à l'exclusion des actionnaires d'une société anonyme, des associés d'une société à responsabilité limitée, des ayants droit économiques et des créanciers desdites sociétés (ATF 141 IV 380 consid. 2.3.3 p. 386; 140 IV 155 consid. 3.3.1 p. 158; arrêt du Tribunal fédéral 1B_62/2018 du 21 juin 2018 consid. 2.1 et les arrêts cités). Le faux dans les titres peut porter atteinte à des intérêts individuels, en particulier s'il vise à nuire à une personne. Tel est le cas lorsqu’un document est présenté à un individu qui pourrait prendre des dispositions sur cette base (ATF 148 IV 170 précité consid. 3.5.1), respectivement quand le faux constitue l'un des éléments d'une infraction contre le patrimoine (arrêt du Tribunal fédéral 6B_666/2021 du 13 janvier 2023 consid. 3.1.2). 1.2.3. En l'espèce, la qualité pour recourir de A______ apparait douteuse, dans la mesure où les infractions en cause, en particulier celle de gestion déloyale, si elle était avérée, auraient été commises au détriment des intérêts de B______ SA, et non des siens propres. Le recours du précité est quoi qu'il en soit infondé, compte tenu de ce qui suit (cf. consid. 4. infra).</w:t>
      </w:r>
    </w:p>
    <w:p>
      <w:r>
        <w:t>- 8/14 - P/19363/2023</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déplorent une constatation incomplète et erronée des faits. Dès lors que la Chambre de céans jouit d'un plein pouvoir de cognition en droit et en fait (art. 393 al. 2 CPP ; ATF 137 I 195 consid. 2.3.2), les éventuelles constatations incomplètes ou inexactes du Ministère public auront été corrigées dans l'état de fait établi ci-devant. Partant, ce grief sera rejeté.</w:t>
      </w:r>
    </w:p>
    <w:p>
      <w:r>
        <w:rPr>
          <w:b/>
        </w:rPr>
        <w:t>E. 4</w:t>
      </w:r>
    </w:p>
    <w:p>
      <w:r>
        <w:t>Les recourants estiment qu'il existe une prévention pénale suffisante des chefs de faux dans les titres à l'égard de C______.</w:t>
      </w:r>
    </w:p>
    <w:p>
      <w:r>
        <w:rPr>
          <w:b/>
        </w:rPr>
        <w:t>E. 4.1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w:t>
      </w:r>
    </w:p>
    <w:p>
      <w:r>
        <w:rPr>
          <w:b/>
        </w:rPr>
        <w:t>E. 4.2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w:t>
      </w:r>
    </w:p>
    <w:p>
      <w:r>
        <w:t>- 9/14 - P/19363/2023 Une non-entrée en matière s'impose également lorsque le litige est de nature purement civile (ATF 137 IV 285 consid. 2.3 p. 287 s.). 4.3.1. 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4.3.2. Cette disposition – qui doit être appliquée de manière restrictive (ATF 117 IV 35 consid. 1d) –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144 IV 13 consid. 2.2.2; arrêt du Tribunal fédéral 6B_367/2022 du 4 juillet 2022 consid. 1.1). Le faux intellectuel est un mensonge écrit qualifié, qui se distingue, par sa capacité de convaincre, d'une simple allégation unilatérale (ATF 126 IV 69 consid. 2a). La limite entre le mensonge écrit et le faux intellectuel dans les titres doit être fixée de cas en cas en fonction des circonstances concrètes de l'espèce (ATF 126 IV 65 consid. 2a ; 125 IV 273 consid. 3a).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 Tel est le cas lorsque certaines assurances objectives garantissent aux tiers la véracité de la déclaration (ATF 144 IV 13 consid. 2.2.2). Il peut s'agir, par exemple, d'un devoir de vérification qui incombe à l'auteur du document ou de l'existence de dispositions légales qui définissent le contenu du document en question.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132 IV 12 consid. 8.1; 129 IV 130 consid. 2.1; 126 IV 65 consid. 2a). Selon une jurisprudence bien établie, un contrat dont le contenu est faux ne constitue en principe pas un titre car il ne bénéficie pas de la crédibilité accrue nécessaire. Ce n'est que s'il existe des garanties spéciales que les déclarations concordantes des</w:t>
      </w:r>
    </w:p>
    <w:p>
      <w:r>
        <w:t>- 10/14 - P/19363/2023 parties correspondent à leur volonté réelle qu'un contrat en la forme écrite simple peut être qualifié de faux intellectuel (ATF 146 IV 258 consid. 1.1.1. et les références citées).</w:t>
      </w:r>
    </w:p>
    <w:p>
      <w:r>
        <w:rPr>
          <w:b/>
        </w:rPr>
        <w:t>E. 4.4</w:t>
      </w:r>
    </w:p>
    <w:p>
      <w:r>
        <w:t>Dans le cas présent, les recourants soutiennent que le contrat de bail litigieux serait faux, car antidaté. Or, aucun élément au dossier ne permet de soupçonner que tel serait le cas. En effet, le mis en cause a fourni des explications cohérentes, à savoir que ledit contrat avait été établi le 1er janvier 2017, veille de sa retraite, en faveur de son fils, afin de permettre de pérenniser l'exploitation du domaine, notamment par la perception de subventions. Il affirme d'ailleurs avoir fait de même avec les autres terres dont il était propriétaire ou locataire. De plus, s'il reconnait ne pas avoir parlé dudit contrat à A______, il n'avait pas de raison de penser que ce dernier s'opposerait à sa conclusion, dans la mesure où cela ne changerait rien à la situation existante et que l'intéressé ne s'était jamais préoccupé de l'exploitation des terres, mais plutôt de la mise à disposition des bâtiments, qui n'était pas mise en péril par le contrat litigieux. Quoi qu'il en soit, à teneur de la jurisprudence sus-rappelée, un tel contrat n'est pas doté d'une valeur probante accrue de sorte que la qualité de titre ne parait pas remplie. En outre, il paraît peu probable qu'une expertise graphologique parvienne à donner la date exacte de la signature du contrat et, même dans ce cas, cela ne changerait pas le constat juridique qui précède. Partant, les éléments constitutifs de l'art. 251 CP n'étant manifestement pas réalisés, la décision de non-entrée en matière prononcée par le Ministère public est justifiée sur ce point.</w:t>
      </w:r>
    </w:p>
    <w:p>
      <w:r>
        <w:rPr>
          <w:b/>
        </w:rPr>
        <w:t>E. 5</w:t>
      </w:r>
    </w:p>
    <w:p>
      <w:r>
        <w:t>Les recourants reprochent au Ministère public de ne pas avoir retenu l'existence d'une gestion déloyale.</w:t>
      </w:r>
    </w:p>
    <w:p>
      <w:r>
        <w:rPr>
          <w:b/>
        </w:rPr>
        <w:t>E. 5.1</w:t>
      </w:r>
    </w:p>
    <w:p>
      <w:r>
        <w:t>L'art. 158 CP (gestion déloyale) punit le gérant d'affaires qui, en agissant avec (ch. 1 al. 1) ou sans mandat (ch. 1 al. 2), viole les devoirs auxquels il est tenu et, ce faisant, porte atteinte aux intérêts pécuniaires du tiers pour le compte duquel il intervient. L'auteur encourt une peine plus élevée s'il a agi dans un dessein d'enrichissement illégitime (ch. 1 al. 3).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w:t>
      </w:r>
    </w:p>
    <w:p>
      <w:r>
        <w:t>- 11/14 - P/19363/2023 ATF 123 IV 17 consid. 3b p. 21). En règle générale, une qualité de gérant est reconnue aux organes ou membres d'organes de sociétés commerciales, ainsi qu'aux membres d'organes de fondation (ATF 105 IV 106 consid. 2 p. 109 : membre du conseil de fondation ; arrêt du Tribunal fédéral 6B_412/2016 du 10 février 2017 consid. 2.2 : directeur et secrétaire général de fondation). Le comportement délictueux visé à l'art. 158 CP n'est pas décrit par le texte légal. Il consiste à violer les devoirs inhérents à la qualité de gérant.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6B_233/2013 du 3 juin 2013 consid. 3.2 et 6B_446/2010 du 14 octobre 2010, consid. 8.4.1).</w:t>
      </w:r>
    </w:p>
    <w:p>
      <w:r>
        <w:rPr>
          <w:b/>
        </w:rPr>
        <w:t>E. 5.2</w:t>
      </w:r>
    </w:p>
    <w:p>
      <w:r>
        <w:t>En l'occurrence, l'on ne saurait retenir que le mis en cause aurait manqué à son devoir de gestion et, a fortiori, causé un dommage à la société, pour avoir engagé celle-ci dans le contrat de bail litigieux. En effet, selon les renseignements pris par la police auprès d'AgriGenève, une durée de vingt-cinq ans est possible en cas d'accord entre les parties. Par ailleurs, si le prix du fermage paraissait sous-évalué, il pouvait s'expliquer par divers facteurs. Les explications données par le mis en cause à ce sujet lors de son audition par la police n'ont au demeurant pas été contestées par les recourants dans leurs écritures. De même, l'OCAN a expliqué qu'il n'existait pas de seuil minimal prescrit par la loi pour fixer le fermage et que le montant retenu était conforme aux usages pour un domaine ayant un tel rendement. Enfin, le montant annuel du fermage prévu par le contrat est le même que celui versé depuis plus de dix ans par C______, montant que A______ n'a jamais remis en question et dont ce dernier avait connaissance, pour avoir eu accès aux documents idoines, qu'il transmettait à la fiduciaire pour l'établissement des comptes. Ainsi, le comportement reproché au mis en cause s'agissant de la gestion et l'exploitation de la société serait tout au plus constitutif d'une violation de leurs accords contractuels, un litige sur ce point étant de nature exclusivement civile. Au vu de ce qui précède, le Ministère public était également fondé à ne pas entrer en matière sur le grief de gestion déloyale.</w:t>
      </w:r>
    </w:p>
    <w:p>
      <w:r>
        <w:rPr>
          <w:b/>
        </w:rPr>
        <w:t>E. 6</w:t>
      </w:r>
    </w:p>
    <w:p>
      <w:r>
        <w:t>Justifiée, l'ordonnance querellée sera donc confirmée.</w:t>
      </w:r>
    </w:p>
    <w:p>
      <w:r>
        <w:t>- 12/14 - P/19363/2023</w:t>
      </w:r>
    </w:p>
    <w:p>
      <w:r>
        <w:rPr>
          <w:b/>
        </w:rPr>
        <w:t>E. 7</w:t>
      </w:r>
    </w:p>
    <w:p>
      <w:r>
        <w:t>Les recourants, qui succombent, supporteront les frais envers l'État, fixés en totalité à CHF 1'200.- (art. 428 al. 1 CPP et 13 al. 1 du Règlement fixant le tarif des frais en matière pénale, RTFMP ; E 4 10.03). * * * * *</w:t>
      </w:r>
    </w:p>
    <w:p>
      <w:r>
        <w:t>- 13/14 - P/19363/2023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