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ACPR/638/2024 vom 13. August 2024</w:t>
      </w:r>
    </w:p>
    <w:p>
      <w:r>
        <w:t>GE Cour de justice, 2024-08-13, FR</w:t>
      </w:r>
    </w:p>
    <w:p>
      <w:r>
        <w:rPr>
          <w:b/>
        </w:rPr>
        <w:t xml:space="preserve">Quelle: </w:t>
      </w:r>
      <w:r>
        <w:t>https://mcp.opencaselaw.ch/entscheid/ge_gerichte_ACPR_638_2024</w:t>
      </w:r>
    </w:p>
    <w:p>
      <w:r>
        <w:t>FR: GE_GERICHTE ACPR/638/2024 du 13 août 2024</w:t>
      </w:r>
    </w:p>
    <w:p>
      <w:r>
        <w:t>IT: GE_GERICHTE ACPR/638/2024 del 13 agosto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l'existence de charges suffisantes et graves.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w:t>
      </w:r>
    </w:p>
    <w:p>
      <w:r>
        <w:t>- 6/11 - P/18473/2024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brigandage est intervenu à 3h45 du matin. À s'en tenir aux déclarations de la recourante, elle avait été "sortie de son lit" vers minuit, au point qu'elle avait pris le volant en pyjama. Elle a emmené, d'on ne sait où, puisqu'elle est depuis plusieurs semaines sans domicile fixe, un sac contenant 110.60 gr. bruts de résine de cannabis et environ 70 gr. de marijuana, qu'elle a placés dans le véhicule qu'elle devait conduire, sans même savoir à qui il appartenait, ni la destination, ni encore le but de ce déplacement. Les trois prévenus ne se seraient à aucun moment parlés dans la voiture de ce qui les attendait, durant leur trajet entre la région [de] H______ et Genève. La recourante n'aurait pas eu la curiosité de demander aux deux autres prévenus la raison de ce déplacement, en particulier au moment où "G______" aurait donné les instructions par téléphone sur leur destination, et où ses acolytes sont tous deux sortis de la voiture pour prendre le sac contenant l'arme de poing factice, le spray, dont ils ont menacé le réceptionniste de l'hôtel, ainsi que les liens de type colson avec lesquels celui-ci a été attaché. Alors que ces derniers s'étaient absentés pendant 20 à 30 minutes, où elle-même aurait fait des tours dans le quartier, toujours au volant de la voiture, elle n'aurait à leur retour pas eu la curiosité de leur demander à quoi ils avaient utilisé ce laps de temps, pas plus que lorsque D______ aurait dit "il m'a donné deux mille", et "trace, trace", afin de quitter les lieux au plus vite. La recourante a été interpellée alors qu'elle cherchait avec ses deux co-prévenus à rentrer en France par la douane de Perly, en possession du butin, de l'arme factice, du spray, de liens colson et d'une bouteille contenant de l'essence. Cette essence devait, selon D______, être giclée sur le réceptionniste avant de lui mettre le feu avec un briquet, si ce dernier ne s'exécutait pas. À ce stade de l'enquête, qui précisément doit entre autres viser à déterminer le degré d'implication de chacun des trois prévenus, le rôle de conductrice de la recourante en pleine nuit de deux personnes ayant commis un brigandage constitue sans conteste des charges suffisantes et graves justifiant une mise en détention provisoire. Ce grief sera rejeté.</w:t>
      </w:r>
    </w:p>
    <w:p>
      <w:r>
        <w:rPr>
          <w:b/>
        </w:rPr>
        <w:t>E. 3</w:t>
      </w:r>
    </w:p>
    <w:p>
      <w:r>
        <w:t>La recourante conteste un risque de collusion.</w:t>
      </w:r>
    </w:p>
    <w:p>
      <w:r>
        <w:t>- 7/11 - P/18473/2024</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quand bien même le déroulement proprement dit du braquage est connu dans les grandes lignes, sur la base des déclarations des trois protagonistes en cause, la description de la victime et les images issues de la vidéosurveillance, l'instruction ne fait que commencer. Une audience de confrontation doit intervenir avec la victime. Il n'est pas pertinent à cet égard que la recourante ne l'ait pas directement menacée. Cet acte d'enquête doit intervenir en sa présence. L'extraction des données des téléphones portables des prévenus est en cours. Elle est d'autant plus importante que tous trois mettent en cause un certain "G______" comme étant le commanditaire, et prétendent ne pas s'être connus avant la nuit des faits. Autrement dit, il y a lieu de circonscrire le degré de préparation et d'anticipation du brigandage et d'identifier ce prétendu commanditaire, de même que "I______", qui est celui avec lequel la recourante dit avoir été en contact, et "Petite sœur", qui est celle qui lui a remis la clé de la voiture. Les investigations doivent donc se poursuivre afin de déterminer l'ampleur exacte de l'activité illicite de la recourante, comprenant en outre l'obtention de son casier judiciaire français. Aussi, en l'état de l'instruction, le risque de collusion est patent à l'égard des deux co- prévenus de la recourante, quand bien même ils ont dans les grandes lignes donné une version concordante de leur implication à chacun, mais aussi de "G______" et de "I______", qui doivent être identifiés. Il est ainsi impératif d'éviter que la recourante ne puisse entrer en contact avec ces personnes ou ne fasse disparaître des preuves.</w:t>
      </w:r>
    </w:p>
    <w:p>
      <w:r>
        <w:t>- 8/11 - P/18473/2024</w:t>
      </w:r>
    </w:p>
    <w:p>
      <w:r>
        <w:rPr>
          <w:b/>
        </w:rPr>
        <w:t>E. 4</w:t>
      </w:r>
    </w:p>
    <w:p>
      <w:r>
        <w:t>La recourante conteste l'existence d'un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la recourante n'était que de passage à Genève, dans le seul but de commettre le brigandage qui lui est reproché. Son centre de vie est à H______. Elle est notamment de nationalité française, pays qui n'extrade pas ses ressortissants. Il ne peut être valablement soutenu que si la recourante entendait ne pas revenir en Suisse, les autorités françaises pourraient la punir plus sévèrement qu'en Suisse. L'instruction doit pouvoir se poursuivre en Suisse et la recourante y être, le cas échéant, jugée. Au vu de la peine-menace et concrètement encourue, si les charges devaient être confirmées, le risque de fuite est tangible.</w:t>
      </w:r>
    </w:p>
    <w:p>
      <w:r>
        <w:rPr>
          <w:b/>
        </w:rPr>
        <w:t>E. 5</w:t>
      </w:r>
    </w:p>
    <w:p>
      <w:r>
        <w:t>La recourante propose des mesures de substitution.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w:t>
      </w:r>
    </w:p>
    <w:p>
      <w:r>
        <w:rPr>
          <w:b/>
        </w:rPr>
        <w:t>E. 5.2</w:t>
      </w:r>
    </w:p>
    <w:p>
      <w:r>
        <w:t>En l'occurrence, au rang des mesures de substitution proposées par la recourante, le dépôt de suretés de EUR 5'000.- ne suffit pas à pallier le risque patent de fuite, surtout compte tenu de l'absence de domicile fixe de la recourante avant son interpellation. Une interdiction faite à la recourante de se rendre à proximité de l'hôtel concerné par le brigandage serait inutile. Une interdiction de se rendre à l'endroit ou aux endroits où les prévenus auraient eu contact avec "G______" et/ou "I______" et elle-même avec "Petite sœur", serait illusoire et impossible à vérifier. Une interdiction d'entrer en contact avec ces derniers, ses deux co-prévenus, voire d'autres personnes du "groupe SNAP" et d'utiliser l'application Snapchat, est clairement insuffisante au regard de l'intensité du risque de collusion constaté. Une telle mesure paraît en outre particulièrement difficile à contrôler, compte tenu du nombre des personnes</w:t>
      </w:r>
    </w:p>
    <w:p>
      <w:r>
        <w:t>- 9/11 - P/18473/2024 potentiellement concernées, pour la plupart encore recherchées, et ne permet pas, en l'état, de pallier le risque d'atteinte à la recherche de la vérité. L'obligation pour la recourante de poursuivre son BTS serait susceptible de la mettre à l'abri d'un risque de réitération, nullement retenu en l'espèce – ce qui peut expliquer que le TMC n'en ait pas expressément fait mention dans l'ordonnance querellée –, mais pas d'un risque de fuite. Elle ne suffirait par ailleurs pas à exclure que, précisément, la recourante ne se présente pas aux prochains actes d'instruction et à l'éventuelle audience de jugement.</w:t>
      </w:r>
    </w:p>
    <w:p>
      <w:r>
        <w:rPr>
          <w:b/>
        </w:rPr>
        <w:t>E. 6</w:t>
      </w:r>
    </w:p>
    <w:p>
      <w:r>
        <w:t>La recourante,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7. La recourante plaide au bénéfice d'une défense d'office. 7.1.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7.2. En l'occurrence, quand bien même la recourante succombe, on peut admettre que l'exercice du présent recours ne procède pas d'un abus. Un premier contrôle des conditions de l'art. 221 CPP par l'autorité de recours pouvait se justifier en début de détention. L'indemnité du défenseur d'office sera fixée à la fin de la procédure (art. 135 al. 2 CPP). * * * * *</w:t>
      </w:r>
    </w:p>
    <w:p>
      <w:r>
        <w:t>- 10/11 - P/18473/2024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