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ACPR/637/2025 vom 12. Juli 2025</w:t>
      </w:r>
    </w:p>
    <w:p>
      <w:r>
        <w:t>GE Cour de justice, 2025-07-12, FR</w:t>
      </w:r>
    </w:p>
    <w:p>
      <w:r>
        <w:rPr>
          <w:b/>
        </w:rPr>
        <w:t xml:space="preserve">Quelle: </w:t>
      </w:r>
      <w:r>
        <w:t>https://mcp.opencaselaw.ch/entscheid/ge_gerichte_ACPR_637_2025</w:t>
      </w:r>
    </w:p>
    <w:p>
      <w:r>
        <w:t>FR: GE_GERICHTE ACPR/637/2025 du 12 juillet 2025</w:t>
      </w:r>
    </w:p>
    <w:p>
      <w:r>
        <w:t>IT: GE_GERICHTE ACPR/637/2025 del 12 luglio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s'oppose à l'établissement de son profil d'ADN.</w:t>
      </w:r>
    </w:p>
    <w:p>
      <w:r>
        <w:rPr>
          <w:b/>
        </w:rPr>
        <w:t>E. 2.1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2.3</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précité consid. 4.3; 1B_230/2022 du 7 septembre 2022 consid. 2.2).</w:t>
      </w:r>
    </w:p>
    <w:p>
      <w:r>
        <w:rPr>
          <w:b/>
        </w:rPr>
        <w:t>E. 2.4</w:t>
      </w:r>
    </w:p>
    <w:p>
      <w:r>
        <w:t>En l'espèce, l'établissement du profil d'ADN du recourant a été ordonné pour élucider, non pas les infractions en cours d'instruction, mais d'autres actes contraires à la LStup, dès lors qu'il avait déjà été soupçonné pour des faits similaires.</w:t>
      </w:r>
    </w:p>
    <w:p>
      <w:r>
        <w:t>- 5/9 - P/15848/2025 À cet égard, il existe des indices sérieux et concrets de la commission, par le recourant, de tels actes punissables. Il a en effet été condamné à quatre reprises, entre mai 2017 et août 2023, pour des délits contre la loi fédérale sur les stupéfiants. Ces condamnations à la LStup vont de pair avec des reproches répétés de situation irrégulière en Suisse, étant précisé qu'il a été condamné à six reprises, entre mai 2017 et août 2020, pour des infractions à la législation sur les étrangers, et à cinq reprises, entre août 2021 et avril 2025, pour rupture de ban. Il a, par ailleurs, une nouvelle fois été condamné, par ordonnance pénale du 30 juin 2025, pour rupture de ban. Bien que cette condamnation ne figure pas encore à l'extrait de son casier judiciaire, dans sa teneur au 12 juillet 2025, l'intéressé ne s'y est toutefois pas opposé. Il est enfin poursuivi, dans le cadre de la présente procédure, pour des faits susceptibles d'être constitutifs de rupture de ban et de non-respect d'une assignation à un lieu de résidence ou d'une interdiction de pénétrer dans une région déterminée. Ces nombreux antécédents laissent craindre un ancrage dans la délinquance liée aux stupéfiants. Ces éléments permettent de penser que l'intéressé pourrait être impliqué dans d'autres infractions à la LStup encore inconnues des autorités, qui pourraient lui être attribuées si l'on était en mesure de comparer son profil d'ADN à des traces prélevées sur les lieux de leur commission. Les infractions à la LStup susceptibles d'être élucidées revêtent également une certaine gravité eu égard à la santé publique. Il s'agit d'ailleurs d'un des cas expressément listés par la Directive A.5 du Procureur général (cf. n. 4.3) qui, bien que n'ayant pas force de loi, est fondée sur l'art. 255 al. 1bis CPP, lequel autorise l'établissement d'un profil d'ADN pour les infractions passées. Le recourant soutient qu'ordonner un nouvel établissement de son profil d'ADN alors qu'un tel profil, immuable, avait déjà été établi plusieurs fois par le passé, la dernière fois le 30 juin 2025, serait arbitraire. La Chambre de céans est toutefois d'avis [cf. notamment, ACPR/400/2025 du 23 mai 2025 consid. 2.3] que dans la mesure où les profils d'ADN sont soumis à effacement après un certain délai [cf. art. 16 de la Loi sur les profils d'ADN; RS 363], il existe un intérêt public prépondérant – quand bien même l'établissement du profil d'ADN aurait déjà été ordonné à une ou plusieurs reprises et son effacement n'interviendrait pas avant de nombreuses années –, à soumettre derechef le prévenu à cette mesure, pour autant que les conditions légales soient à nouveau réalisées, ce qui est le cas en l'espèce. Ce sont d'ailleurs les soupçons de la commission de nouvelles infractions – en l'occurrence un délit à la LStup – qui ont conduit le Ministère public à ordonner à nouveau l'établissement du profil d'ADN du recourant, afin d'en prolonger d'autant la date d'effacement dans les fichiers de la police. Dans la mesure où on se trouve dans une situation dans laquelle l'art. 255 al. 1bis CPP permet d'ordonner un tel établissement, la mesure est légale, et, partant, nullement arbitraire.</w:t>
      </w:r>
    </w:p>
    <w:p>
      <w:r>
        <w:t>- 6/9 - P/15848/2025 Le recourant invoque encore le droit à être protégé contre l'emploi abusif des données qui le concernent (art. 8 CEDH et art. 13 al. 2 Cst. féd.). Or, on ne voit pas en quoi le nouvel établissement de son profil d'ADN pourrait constituer une tel emploi abusif, puisqu'il a été ordonné sur la base – légale – de l'art. 255 al. 1bis CPP, dont les conditions sont remplies, comme cela a été retenu ci-dessus. C'est, encore une fois, parce que le recourant a été arrêté et en raison de soupçons de la commission d'un délit contre la LStup, que l'établissement d'un profil d'ADN a été ordonné. Ainsi, le fait, pour le Ministère public, d'avoir, dans de telles circonstances, ordonné une nouvelle fois l'établissement du profil d'ADN du recourant, afin d'en prolonger de quelques semaines le délai de conservation, n'apparait nullement disproportionné, quand bien-même l'échéance dudit délai n'interviendra que dans dix ou vingt ans. Le recourant invoque encore que les frais de ce nouvel établissement de son profil d'ADN allaient être mis à sa charge et à celle du contribuable genevois. Il n'a toutefois pas été condamné à en supporter le coût, de tels frais n'ayant été mis à sa charge, ni dans le cadre de l'ordonnance querellée, ni dans l'ordonnance pénale prononcée le même jour. Que ce coût soit éventuellement mis à sa charge – ce qui n'est pas évident à ce stade, dès lors que cette question ne se posera qu'à l'issue de la procédure et à la condition que l'intéressé soit condamné – n'est donc pas pertinent. Pour le surplus, le recourant ne saurait se soustraire à la mesure au prétexte que les frais pourraient incomber au contribuable genevois. S'agissant du grief à teneur duquel l'ordonnance pénale du 12 juillet 2025 violerait l'art. 353 al. 1 let. fbis CPP, il est exorbitant au présent recours, qui porte uniquement sur l'ordonnance d'établissement d'un profil d'ADN prononcée le 12 juillet 2025, et non sur l'ordonnance pénale rendue le même jour. Il en va de même des circonstances dans lesquelles le Ministère public a été amené, le 30 juin 2025, dans le cadre d'une autre procédure (P/1______/2025), à prononcer une ordonnance pénale à son encontre, d'une part, et à ordonner l'établissement de son profil d'ADN – laquelle a fait l'objet d'un recours distinct –, d'autre part. Que le recourant ait été victime d'une infraction grave, soit d'une "tentative de meurtre suite à une agression particulièrement violente", faits faisant l'objet d'une autre procédure, n'y change rien. Il s'ensuit que l'ordonnance querellée ne prête pas le flanc à la critique, les réquisits pour le prononcé de l'établissement du profil d'ADN du recourant étant réunis.</w:t>
      </w:r>
    </w:p>
    <w:p>
      <w:r>
        <w:rPr>
          <w:b/>
        </w:rPr>
        <w:t>E. 3</w:t>
      </w:r>
    </w:p>
    <w:p>
      <w:r>
        <w:t>Justifiée, l'ordonnance querellée sera donc confirmée. Le recours, qui s'avère mal fondé, pouvait d'emblée être traité sans échange d'écritures ni débats (art. 390 al. 2 et</w:t>
      </w:r>
    </w:p>
    <w:p>
      <w:r>
        <w:rPr>
          <w:b/>
        </w:rPr>
        <w:t>E. 5</w:t>
      </w:r>
    </w:p>
    <w:p>
      <w:r>
        <w:t>Corrélativement, aucun dépens ne lui sera alloué (ATF 144 IV 207, consid. 1.8.2). * * * * *</w:t>
      </w:r>
    </w:p>
    <w:p>
      <w:r>
        <w:t>- 8/9 - P/15848/2025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