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ACPR/634/2019 vom 17. Juni 2019</w:t>
      </w:r>
    </w:p>
    <w:p>
      <w:r>
        <w:t>GE Cour de justice, 2019-06-17, FR</w:t>
      </w:r>
    </w:p>
    <w:p>
      <w:r>
        <w:rPr>
          <w:b/>
        </w:rPr>
        <w:t xml:space="preserve">Quelle: </w:t>
      </w:r>
      <w:r>
        <w:t>https://mcp.opencaselaw.ch/entscheid/ge_gerichte_ACPR_634_2019</w:t>
      </w:r>
    </w:p>
    <w:p>
      <w:r>
        <w:t>FR: GE_GERICHTE ACPR/634/2019 du 17 juin 2019</w:t>
      </w:r>
    </w:p>
    <w:p>
      <w:r>
        <w:t>IT: GE_GERICHTE ACPR/634/2019 del 17 giugno 2019</w:t>
      </w:r>
    </w:p>
    <w:p>
      <w:pPr>
        <w:pStyle w:val="Heading2"/>
      </w:pPr>
      <w:r>
        <w:t>Erwägungen</w:t>
      </w:r>
    </w:p>
    <w:p>
      <w:r>
        <w:rPr>
          <w:b/>
        </w:rPr>
        <w:t>E. 1</w:t>
      </w:r>
    </w:p>
    <w:p>
      <w:r>
        <w:t>Le recours est recevable pour avoir été déposé selon les forme et – faute de notification conforme à l'art. 85 al. 2 CPP – délai prescrits (art. 385 al. 1 et 396 al. 1 CPP) et concerner une ordonnance de non-entrée en matière sujette à recours auprès de la Chambre de céans (art. 310 al. 2, 322 al. 2 et 393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prématurée l'ordonnance de non-entrée en matière. Elle soutient uniquement que les conditions d'une gestion déloyale (art. 158 CP) seraient réalisées.</w:t>
      </w:r>
    </w:p>
    <w:p>
      <w:r>
        <w:rPr>
          <w:b/>
        </w:rPr>
        <w:t>E. 3.1</w:t>
      </w:r>
    </w:p>
    <w:p>
      <w:r>
        <w:t>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w:t>
      </w:r>
    </w:p>
    <w:p>
      <w:r>
        <w:t>- 4/7 - P/22015/2018 Tribunal fédéral 6B_417/2017 du 10 janvier 2018 consid. 2.1.2; 6B_185/2016 du 30 novembre 2016 consid. 2.1.2 et les références citées).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3.4</w:t>
      </w:r>
    </w:p>
    <w:p>
      <w:r>
        <w:t>En l'espèce, la thèse de la recourante selon laquelle la configuration de la cause serait celle dite "de parole contre parole" ne résiste pas à l'examen. La recourante n'est pas une victime au sens de la loi (art. 116 al. 1 CPP), car les infractions qu'elle invoque n'atteignent pas son intégrité physique, psychique ou sexuelle et ne deviennent pas des actes commis "entre quatre yeux", au sens de la jurisprudence, du seul fait qu'elle n'est pas en mesure d'appuyer toutes ses accusations – de nature patrimoniale – par des preuves documentaires. À cet égard, la prévention d'actes de gestion déloyale ne trouve pas d'appui dans le dossier, et notamment pas la condition du dommage patrimonial (direct), qui est un des éléments constitutifs de l'art. 158 CP. La constatation d'un déficit n'est pas en soi l'indice d'une déloyauté, qui plus est intentionnelle. L'invocation d'une gestion</w:t>
      </w:r>
    </w:p>
    <w:p>
      <w:r>
        <w:t>- 5/7 - P/22015/2018 "chaotique" apparaît conjecturale, car fondée sur le fait que C______ n'estime pas complètes les pièces comptables reçues par son avocat. Quoi qu'il en soit, ces lacunes ne diraient encore rien d'une intention de porter atteinte aux intérêts pécuniaires de la recourante, les deux associés ayant a priori un intérêt égal à la prospérité de l'affaire. Peu importe aussi que B______ ait, comme la recourante le soutient, lancé son entreprise tout en étant associé-gérant. L'art. 27 des statuts prévoit, certes, que les gérants ne peuvent faire concurrence à la recourante, sauf approbation écrite de chacun d'eux. Mais on comprend des explications des associés que la recourante n'exploite actuellement plus d'entreprise. Par ailleurs, B______ a démissionné de ses fonctions au sein de la recourante, i.e. n'en est plus un associé gérant, et est l'exploitant du magasin actuel. Il est aussi le titulaire du bail, comme le confirme le contrat de location (pièce 3 annexée à la plainte). En outre, les deux commerces n'ont, évidemment, pas coexisté au même endroit. Dès lors, on voit mal comment le maintien d'une entreprise de même but, au même emplacement et au même numéro de téléphone, mais à la suite de la recourante, pourrait être un acte de gestion de celle-ci. Que B______ ait successivement travaillé pour chacune des entreprises – et non simultanément, comme dans l'arrêt du Tribunal fédéral 6B_931/2008 du 2 février 2009, auquel se réfère la recourante – s'avère donc pénalement indifférent. Pour le surplus, la recourante n'est pas recevable, faute d'atteinte directe à ses intérêts juridiquement protégés, à se plaindre que C______ aurait investi à perte CHF 100'000.-, n'aurait pas eu d'accès complet à sa comptabilité et aurait été licencié. Au vu de ce qui précède, une confrontation des deux fondateurs et associés, voire, comme esquissé dans le corps du recours, l'audition d'un (ancien) employé de la recourante n'apporterait pas d'éclairage décisif sur les éléments qui précèdent. En effet, les fondateurs de la recourante camperaient selon toute vraisemblance sur leurs positions, et l'employé confirmerait tout au plus que des assemblées générales "informelles" s'étaient effectivement tenues, parfois en l'absence de C______, mais ces circonstances ne sont pas propres à établir de déloyauté envers la recourante elle- même.</w:t>
      </w:r>
    </w:p>
    <w:p>
      <w:r>
        <w:rPr>
          <w:b/>
        </w:rPr>
        <w:t>E. 4</w:t>
      </w:r>
    </w:p>
    <w:p>
      <w:r>
        <w:t>Faute de soupçon suffisant et de mesures probatoires pertinentes, le recours est privé de fondement et doit être rejeté.</w:t>
      </w:r>
    </w:p>
    <w:p>
      <w:r>
        <w:rPr>
          <w:b/>
        </w:rPr>
        <w:t>E. 5</w:t>
      </w:r>
    </w:p>
    <w:p>
      <w:r>
        <w:t>La recourante, qui succombe, supportera les frais envers l'État, qui seront fixés en totalité à CHF 1'000.- (art. 428 al. 1 CPP et 13 al. 1 du Règlement fixant le tarif des frais en matière pénale, RTFMP; E 4 10.03). * * * * *</w:t>
      </w:r>
    </w:p>
    <w:p>
      <w:r>
        <w:t>- 6/7 - P/22015/2018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