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ACPR/633/2025 vom 10. Juli 2025</w:t>
      </w:r>
    </w:p>
    <w:p>
      <w:r>
        <w:t>GE Cour de justice, 2025-07-10, FR</w:t>
      </w:r>
    </w:p>
    <w:p>
      <w:r>
        <w:rPr>
          <w:b/>
        </w:rPr>
        <w:t xml:space="preserve">Quelle: </w:t>
      </w:r>
      <w:r>
        <w:t>https://mcp.opencaselaw.ch/entscheid/ge_gerichte_ACPR_633_2025</w:t>
      </w:r>
    </w:p>
    <w:p>
      <w:r>
        <w:t>FR: GE_GERICHTE ACPR/633/2025 du 10 juillet 2025</w:t>
      </w:r>
    </w:p>
    <w:p>
      <w:r>
        <w:t>IT: GE_GERICHTE ACPR/633/2025 del 10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- 5/9 - P/15005/2025</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Le Tribunal fédéral a indiqué que l'art. 255 CPP ne permettait toutefois pas le prélèvement de routine (invasif) d'échantillons d'ADN lors de chaque soupçon suffisant, et encore moins leur analyse générale (ATF 147 I 372 consid 2.1 et les référence citées).</w:t>
      </w:r>
    </w:p>
    <w:p>
      <w:r>
        <w:rPr>
          <w:b/>
        </w:rPr>
        <w:t>E. 3.4</w:t>
      </w:r>
    </w:p>
    <w:p>
      <w:r>
        <w:t>En l'espèce, le recourant ne conteste pas l'existence d'indices sérieux et concrets qu'il pourrait être impliqué dans d'autres infractions, mêmes futures, ni que ces infractions seraient d'une certaine gravité. Les faits pour lesquels il a été arrêté les 1er et 9 juillet 2025 et les nombreuses autres procédures en cours à son encontre, notamment pour infraction à la LStup, auxquels s'ajoute sa situation personnelle, en particulier l'absence de revenus légaux avérés, confirment au demeurant l'existence de tels indices. Le recourant reproche au Ministère public de n'avoir pas tenu compte de ce que son profil d'ADN avait déjà été établi dans le passé et d'appliquer la Directive A.5 du Procureur général de telle sorte à prélever et analyser les échantillons d'ADN de manière systématique, soit de manière illégale.</w:t>
      </w:r>
    </w:p>
    <w:p>
      <w:r>
        <w:t>- 6/9 - P/15005/2025 La Chambre de céans a toutefois régulièrement retenu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que son effacement n'interviendrait pas avant de nombreuses années – à soumettre derechef le prévenu à cette mesure, pour autant que les conditions légales soient à nouveau réalisées, ce qui est le cas en l'espèce. Dans la mesure où on se trouve dans une situation dans laquelle l'art. 255 al. 1bis CPP permet d'ordonner un tel établissement, la mesure est légale, et, partant, nullement arbitraire ni contraire à la jurisprudence du Tribunal fédéral. Au surplus, le grief à teneur duquel l'ordonnance pénale figurant à la procédure violerait l'art. 353 al. 1 let. fbis CPP pour n'avoir pas indiqué si le profil d'ADN du recourant avait déjà été établi par le passé est irrecevable, dite disposition indiquant que les ordonnances pénales doivent indiquer "le délai d'effacement d'un profil d'ADN éventuellement existant" et ne visent dès lors pas l'ordonnance d'établissement du profil d'ADN. Au demeurant, seule cette dernière est l'objet du litige. Le recourant invoque encore le droit à être protégé contre l'emploi abusif des données qui le concernent (art. 13 al. 2 Cst.). Or, on ne voit pas en quoi le nouvel établissement de son profil d'ADN pourrait constituer un tel emploi abusif, puisqu'il a été ordonné sur la base – légale – de l'art. 255 al. 1bis CPP, dont les conditions sont remplies, comme cela a été retenu ci-dessus. C'est bien parce que le recourant a été à nouveau arrêté, en juillet 2025, en raison de soupçons de la commission d'un délit contre la LStup – pour lequel il est renvoyé en jugement – que l'établissement d'un profil d'ADN a été ordonné. Partant, la mesure querellée n'apparaît pas inutile ou disproportionnée. Que son coût soit éventuellement mis à la charge du recourant – ce qui n'est pas évident à ce stade, dès lors que cette question ne se posera qu'à l'issue de la procédure et à la condition que l'intéressé soit condamné – n'est donc pas pertinent. Le recourant ne dispose pas d'un intérêt juridiquement protégé à critiquer le fait que ces frais seraient, cas échéant, supportés par le contribuable. En définitive, l'ordonnance querellée ne prête pas le flanc à la critique, les réquisits pour le prononcé de l'établissement du profil d'ADN du recourant étant réunis.</w:t>
      </w:r>
    </w:p>
    <w:p>
      <w:r>
        <w:rPr>
          <w:b/>
        </w:rPr>
        <w:t>E. 4</w:t>
      </w:r>
    </w:p>
    <w:p>
      <w:r>
        <w:t>Justifiée, cette ordonnance sera donc confirmée.</w:t>
      </w:r>
    </w:p>
    <w:p>
      <w:r>
        <w:rPr>
          <w:b/>
        </w:rPr>
        <w:t>E. 5</w:t>
      </w:r>
    </w:p>
    <w:p>
      <w:r>
        <w:t>Le recourant, qui succombe, supportera les frais envers l'État, fixés en totalité à CHF 500.- (art. 428 al. 1 CPP et 13 al. 1 du Règlement fixant le tarif des frais en matière pénale, RTFMP; E 4 10.03). L'autorité de recours est en effet tenue de dresser un état de frais pour la procédure de deuxième instance, sans égard à l'obtention de</w:t>
      </w:r>
    </w:p>
    <w:p>
      <w:r>
        <w:t>- 7/9 - P/15005/2025 l'assistance judiciaire (arrêts du Tribunal fédéral 1B_372/2014 du 8 avril 2015 consid. 4.6 et 1B_203/2011 du 18 mai 2011 consid. 4).</w:t>
      </w:r>
    </w:p>
    <w:p>
      <w:r>
        <w:rPr>
          <w:b/>
        </w:rPr>
        <w:t>E. 6</w:t>
      </w:r>
    </w:p>
    <w:p>
      <w:r>
        <w:t>Le recourant plaide au bénéfice d'une défense d'office. Dans la mesure où la procédure se poursuit, l'indemnité de son défenseur d'office sera fixée à la fin de la procédure (art. 135 al. 2 CPP). * * * * *</w:t>
      </w:r>
    </w:p>
    <w:p>
      <w:r>
        <w:t>- 8/9 - P/15005/2025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