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ACPR/633/2023 vom 27. Juli 2023</w:t>
      </w:r>
    </w:p>
    <w:p>
      <w:r>
        <w:t>GE Cour de justice, 2023-07-27, FR</w:t>
      </w:r>
    </w:p>
    <w:p>
      <w:r>
        <w:rPr>
          <w:b/>
        </w:rPr>
        <w:t xml:space="preserve">Quelle: </w:t>
      </w:r>
      <w:r>
        <w:t>https://mcp.opencaselaw.ch/entscheid/ge_gerichte_ACPR_633_2023</w:t>
      </w:r>
    </w:p>
    <w:p>
      <w:r>
        <w:t>FR: GE_GERICHTE ACPR/633/2023 du 27 juillet 2023</w:t>
      </w:r>
    </w:p>
    <w:p>
      <w:r>
        <w:t>IT: GE_GERICHTE ACPR/633/2023 del 27 luglio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charges.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les déclarations détaillées et claires de E______ à la police en audition EVIG – résumées en l'état au dossier –, corroborées par les propos de L______, à qui elle se serait confiée, ainsi que par le signalement à la police d'une amie de la famille, F______, constituent de forts soupçons d'infractions graves, au sens de l'art. 221 al. 1 CPP. Que seul un résumé des déclarations de la jeune fille figure au dossier n'enlève rien à leur crédibilité, certains termes utilisés (et retranscrits dans le résumé) démontrant</w:t>
      </w:r>
    </w:p>
    <w:p>
      <w:r>
        <w:t>- 6/10 - P/14661/2023 selon la police les lacunes de E______ en matière de sexualité (cf. rapport de renseignements du 7 juillet 2023, p. 5), ce qui apparaît cohérent vu l'âge de l'intéressée (12 ans). On discerne par ailleurs mal le lien entre les évènements dramatiques qu'aurait vécu la jeune fille lors de sa traversée vers l'Europe et ses accusations contre le prévenu.</w:t>
      </w:r>
    </w:p>
    <w:p>
      <w:r>
        <w:t>Que la grand-mère habite le même logement que E______ ne rend pas impossible les faits décrits par cette dernière, ceux-ci s'étant selon elle déroulés la nuit lorsque la grand-mère était couchée.</w:t>
      </w:r>
    </w:p>
    <w:p>
      <w:r>
        <w:t>Enfin, les infections sexuellement transmissibles détectées chez la jeune fille interpellent et renforcent la prévention à ce stade, même si le recourant nie être porteur d'une quelconque maladie de ce type.</w:t>
      </w:r>
    </w:p>
    <w:p>
      <w:r>
        <w:t>En l'état de la procédure, les charges retenues apparaissent ainsi suffisantes et graves, au vu des éléments au dossier, pour justifier la détention provisoire.</w:t>
      </w:r>
    </w:p>
    <w:p>
      <w:r>
        <w:rPr>
          <w:b/>
        </w:rPr>
        <w:t>E. 3</w:t>
      </w:r>
    </w:p>
    <w:p>
      <w:r>
        <w:t>Le recourant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l'occurrence, dans la mesure où les charges pesant sur le recourant sont lourdes et apparaissent reposer avant tout sur les déclarations de E______ ainsi que sur celles d'autres membres de la famille ou de proches, il existe un risque de collusion très important entre tous les protagonistes, de nouvelles auditions et des</w:t>
      </w:r>
    </w:p>
    <w:p>
      <w:r>
        <w:t>- 7/10 - P/14661/2023 confrontations devant avoir lieu. Vu l'âge de la jeune fille et la proximité de ses liens avec le prévenu, qu'il soit son père biologique ou non, ainsi que les liens proches des autres personnes à entendre avec le prévenu, on ne peut exclure que celui-ci exerce des pressions sur elles ou tente de les influencer et ainsi n'altère la manifestation de la vérité. La mesure de substitution proposée par le prévenu pour pallier ce risque, à savoir l'interdiction de contacter, sous quelque forme que ce soit, E______ et tout autre membre de sa famille ou toute personne susceptible d'être entendue (art. 237 al. 1 et 2 let. g), n'apparaît pas suffisante pour pallier l'acuité du risque susévoqué à ce stade précoce de l'enquête et aucune autre mesure de substitution n'entre en ligne de compte ici.</w:t>
      </w:r>
    </w:p>
    <w:p>
      <w:r>
        <w:rPr>
          <w:b/>
        </w:rPr>
        <w:t>E. 4</w:t>
      </w:r>
    </w:p>
    <w:p>
      <w:r>
        <w:t>Le risque de collusion étant réalisé, l'autorité de recours peut se dispenser d'examiner si les risques de fuite et de réitération le sont également (arrêt du Tribunal fédéral 1B_322/2019 du 17 juillet 2019 consid. 3.3 et la jurisprudence citée).</w:t>
      </w:r>
    </w:p>
    <w:p>
      <w:r>
        <w:rPr>
          <w:b/>
        </w:rPr>
        <w:t>E. 5</w:t>
      </w:r>
    </w:p>
    <w:p>
      <w:r>
        <w:t>Au vu de la peine menace concrètement encourue si le recourant devait être reconnu coupable des infractions qui lui sont reprochées, la durée de la détention provisoire prononcée respecte le principe de la proportionnalité.</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t>- 8/10 - P/14661/2023</w:t>
      </w:r>
    </w:p>
    <w:p>
      <w:r>
        <w:rPr>
          <w:b/>
        </w:rPr>
        <w:t>E. 8.2</w:t>
      </w:r>
    </w:p>
    <w:p>
      <w:r>
        <w:t>En l'occurrence, quand bien même le recourant succombe, on peut admettre que l'exercice de ce premier recours ne procède pas d'un abus.</w:t>
      </w:r>
    </w:p>
    <w:p>
      <w:r>
        <w:t>L'indemnité du défenseur d'office sera fixée à la fin de la procédure (art. 135 al. 2 CPP). * * * * *</w:t>
      </w:r>
    </w:p>
    <w:p>
      <w:r>
        <w:t>- 9/10 - P/14661/2023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