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ACPR/633/2021 vom 23. August 2021</w:t>
      </w:r>
    </w:p>
    <w:p>
      <w:r>
        <w:t>GE Cour de justice, 2021-08-23, FR</w:t>
      </w:r>
    </w:p>
    <w:p>
      <w:r>
        <w:rPr>
          <w:b/>
        </w:rPr>
        <w:t xml:space="preserve">Quelle: </w:t>
      </w:r>
      <w:r>
        <w:t>https://mcp.opencaselaw.ch/entscheid/ge_gerichte_ACPR_633_2021</w:t>
      </w:r>
    </w:p>
    <w:p>
      <w:r>
        <w:t>FR: GE_GERICHTE ACPR/633/2021 du 23 août 2021</w:t>
      </w:r>
    </w:p>
    <w:p>
      <w:r>
        <w:t>IT: GE_GERICHTE ACPR/633/2021 del 23 agosto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les charges ne seraient plus suffisantes.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le recourant était présent au J______ [GE] le matin où les deux victimes ont été blessées à la gorge par des coups compatibles avec l'utilisation de tessons de bouteille. Il allègue avoir voulu aider son ami D______, qui, selon leurs explications à tous les deux, tentait de séparer E______ de F______. Il allègue s'être borné à avoir poussé et fait tomber F______. Dès l'ouverture de l'instruction, F______ – qui n'a pas encore été confronté au recourant – a désigné son agresseur comme étant un homme noir portant un t-shirt blanc, description que le recourant ne conteste pas lui correspondre. Le témoin S______ a déclaré avoir vu que la victime était poursuivie par deux hommes, l'un "blanc", qu'il a reconnu à 100% sur planche photographique comme étant D______ et l'autre "métis", qu'il a identifié à 80% comme un quidam non présent sur les lieux mais dont la physionomie (cf. PP C-42 phot. N. 8) n'est pas éloignée de celle du</w:t>
      </w:r>
    </w:p>
    <w:p>
      <w:r>
        <w:t>- 11/16 - P/12553/2021 recourant (PP 3______ phot. N. 8). Immédiatement après les fait, les personnes présentes ont désigné le recourant comme l'auteur des coups, au point qu'il a été menacé de mort par téléphone et que trois individus sont allés s'en prendre physiquement à D______, dans le quartier des M______ [GE] – où il était officiellement domicilié –, cherchant "A______". G______, la seconde victime, qui aurait reçu un coup au moment où il aidait F______, a, devant le Ministère public, désigné le recourant comme étant son agresseur, expliquant ne pas avoir souhaité l'impliquer au départ, mais avoir changé d'avis après avoir compris que sa vie avait été mise en danger. Le recourant semble considérer cette déclaration comme un revirement, mais il oublie qu'il avait déclaré à la police, au moment de son interpellation, que G______ le désignait, auprès des tiers, comme son agresseur et qu'une médiation entre eux deux avait été proposée par des personnes de la maison de quartier. Il ne s'agit donc pas d'un fait nouveau. Il résulte des éléments précités que le recourant est désigné, par plusieurs sources, comme l'auteur des coups portés aux victimes. Le témoignage de D______ n'ayant pas varié, il ne diminue pas les soupçons contre le recourant. Il en va de même du témoignage de K______, qui n'avait d'emblée pas reconnu le recourant sur planche photographique. Quant à P______, elle est arrivée sur les lieux après la bagarre. Il s'ensuit qu'après deux mois d'instruction, les charges se sont confirmées. On relèvera à cet égard que les déclarations du recourant ne concordent pas avec celles du témoin N______ – l'ami avec lequel il se trouvait au J______ [GE] jusqu'aux prémices de la bagarre –, s'agissant des motifs pour lesquels il se serait soudainement absenté, les circonstances dans lesquelles ils ont tous deux quitté les lieux, l'endroit où ils ont passé la nuit et leurs emplois du temps respectifs dans les heures suivantes. Puisque le recourant déclare n'avoir aucun lien avec la bagarre, ces contradictions interrogent et renforcent, en l'état, les soupçons à son égard.</w:t>
      </w:r>
    </w:p>
    <w:p>
      <w:r>
        <w:rPr>
          <w:b/>
        </w:rPr>
        <w:t>E. 3</w:t>
      </w:r>
    </w:p>
    <w:p>
      <w:r>
        <w:t>Le recourant conteste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w:t>
      </w:r>
    </w:p>
    <w:p>
      <w:r>
        <w:t>- 12/16 - P/12553/2021 compromettrait l'accomplissement (ATF 137 IV 122 consid. 4.2 p. 127 s. ; 132 I 21 consid. 3.2 p. 23 ; 128 I 149 consid. 2.1 p. 151 ; 123 I 31 consid. 3c p. 35 et les références).</w:t>
      </w:r>
    </w:p>
    <w:p>
      <w:r>
        <w:rPr>
          <w:b/>
        </w:rPr>
        <w:t>E. 3.2</w:t>
      </w:r>
    </w:p>
    <w:p>
      <w:r>
        <w:t>En l'espèce, la confrontation du recourant avec F______, qui devrait intervenir le 30 septembre 2021, est importante et doit se dérouler sans que le recourant n'ait eu de contacts préalables avec le précité, même de manière indirecte. Dans la mesure où, juste après les faits, des tiers ont contacté le recourant sur son téléphone portable, le désignant comme l'auteur des coups, et que des hommes sont venus le chercher dans le quartier des M______ [GE], où il était officiellement domicilié, il existe un risque concret que, une fois libéré, il parvienne, par personnes interposées, à communiquer avec la victime. Il en va de même du témoin I______, qui a déclaré avoir vu deux hommes poursuivre F______ au moment des faits, dont l'un pourrait être le recourant. Il est certes très regrettable que ce témoin n'ait pas été confronté aux prévenus immédiatement après l'ouverture de l'instruction, plutôt que d'être convoqué à une audience deux mois plus tard, le 16 août 2021. Sur ce point, le recourant relève avec raison que le risque de collusion s'est atténué avec la libération, le 6 août 2021, de D______, qui est lui-même mis en cause par ce témoin. Cela étant, la confrontation avec le recourant demeure nécessaire, et il existe un risque concret, au vu de l'enjeu pour l'intéressé, qu'il n'use de ses contacts pour communiquer avec le précité avant celle-ci. Il convient également que le témoin N______, si le Ministère public devait ordonner sa confrontation au recourant, soit confronté sans interférences de ce dernier. Le risque de collusion étant réalisé à tout le moins s'agissant des confrontations précitées, point n'est besoin d'examiner s'il concerne aussi les auditions des témoins "R______", qui ne paraît pas avoir assisté à la bagarre, et de T______, qui semble concerné par les faits survenus aux M______ [GE].</w:t>
      </w:r>
    </w:p>
    <w:p>
      <w:r>
        <w:rPr>
          <w:b/>
        </w:rPr>
        <w:t>E. 4</w:t>
      </w:r>
    </w:p>
    <w:p>
      <w:r>
        <w:t>Compte tenu de l'enjeu que ces confrontations représentent pour l'avancement de la procédure, la promesse du recourant de ne pas entrer en contact avec les témoins n'est pas suffisante, et aucune autre mesure de substitution (237 al. 1 CPP) n'est apte, en l'état, à pallier le risque précité, en particulier pas la présentation quotidienne du recourant à un poste de police.</w:t>
      </w:r>
    </w:p>
    <w:p>
      <w:r>
        <w:rPr>
          <w:b/>
        </w:rPr>
        <w:t>E. 5</w:t>
      </w:r>
    </w:p>
    <w:p>
      <w:r>
        <w:t>En invoquant les effets délétères de la détention sur son avenir, le recourant fait référence au principe de la proportionnalité.</w:t>
      </w:r>
    </w:p>
    <w:p>
      <w:r>
        <w:rPr>
          <w:b/>
        </w:rPr>
        <w:t>E. 5.1</w:t>
      </w:r>
    </w:p>
    <w:p>
      <w:r>
        <w:t>; 1B_705/2011 du 9 mai 2012 consid. 2.3.2 ; 1B_732/2011 du 19 janvier 2012 consid. 7.1 et 7.2).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5.2</w:t>
      </w:r>
    </w:p>
    <w:p>
      <w:r>
        <w:t>En l'espèce, les faits sont graves. Prévenu de tentative de meurtre (art. 22 cum 111 CP), le recourant est concrètement exposé à une peine qui excède la durée de la détention provisoire ordonnée à ce jour, jusqu'au 25 octobre 2021, s'il devait être reconnu coupable des faits reprochés. Comme rappelé par le TMC, le recourant ne saurait se prévaloir d'une inégalité de traitement avec ses co-prévenus libérés, dont les situations sont différentes. Cela étant, il importe que les actes d'instruction invoqués par le Ministère public à l'appui de sa demande de prolongation de la détention provisoire aient lieu sans tarder, au plus tard à l'échéance fixée par l'ordonnance querellée, quitte à acheminer les éventuels témoins récalcitrants par la force publique. Le Ministère public ne peut en effet invoquer la nécessité des confrontations susmentionnées – et le risque de collusion y relatif –, pour justifier le maintien en détention provisoire du prévenu, sans procéder rapidement à ces actes d'instruction. En l'état, le principe de la proportionnalité étant respecté, le recours s'avère infondé et doit être rejeté.</w:t>
      </w:r>
    </w:p>
    <w:p>
      <w:r>
        <w:rPr>
          <w:b/>
        </w:rPr>
        <w:t>E. 6</w:t>
      </w:r>
    </w:p>
    <w:p>
      <w:r>
        <w:t>Le recourant, qui succombe, supportera les frais envers l'État, arrêtés en totalité à CHF 600.- pour tenir compte des remarques sus-énoncées (art. 428 al. 1 CPP et 13 al. 1 du Règlement fixant le tarif des frais en matière pénale, RTFMP ; E 4 10.03).</w:t>
      </w:r>
    </w:p>
    <w:p>
      <w:r>
        <w:rPr>
          <w:b/>
        </w:rPr>
        <w:t>E. 6.2</w:t>
      </w:r>
    </w:p>
    <w:p>
      <w:r>
        <w:t>; 1B_705/2011 du 9 mai 2012 consid. 2.3.2). Ceci vaut également lorsque le</w:t>
      </w:r>
    </w:p>
    <w:p>
      <w:r>
        <w:t>- 14/16 - P/12553/2021 Ministère public a, dans le cadre de la procédure principale, désigné un défenseur d'office au prévenu qui se trouve dans un cas de défense obligatoire (art. 132 al. 1 let. a en lien avec l'art. 130 CPP ; arrêts du Tribunal fédéral 1B_516/2020 précité consid.</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w:t>
      </w:r>
    </w:p>
    <w:p>
      <w:r>
        <w:rPr>
          <w:b/>
        </w:rPr>
        <w:t>E. 7.2</w:t>
      </w:r>
    </w:p>
    <w:p>
      <w:r>
        <w:t>En l'occurrence, le recours, premier à être exercé, n'étant pas manifestement abusif, l'assistance juridique sera accordée pour le recours et l'indemnité sera fixée à la fin de la procédure (art. 135 al. 2 CPP).</w:t>
      </w:r>
    </w:p>
    <w:p>
      <w:r>
        <w:t>* * * * *</w:t>
      </w:r>
    </w:p>
    <w:p>
      <w:r>
        <w:t>- 15/16 - P/12553/2021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