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ACPR/632/2018 vom 15. August 2018</w:t>
      </w:r>
    </w:p>
    <w:p>
      <w:r>
        <w:t>GE Cour de justice, 2018-08-15, FR</w:t>
      </w:r>
    </w:p>
    <w:p>
      <w:r>
        <w:rPr>
          <w:b/>
        </w:rPr>
        <w:t xml:space="preserve">Quelle: </w:t>
      </w:r>
      <w:r>
        <w:t>https://mcp.opencaselaw.ch/entscheid/ge_gerichte_ACPR_632_2018</w:t>
      </w:r>
    </w:p>
    <w:p>
      <w:r>
        <w:t>FR: GE_GERICHTE ACPR/632/2018 du 15 août 2018</w:t>
      </w:r>
    </w:p>
    <w:p>
      <w:r>
        <w:t>IT: GE_GERICHTE ACPR/632/2018 del 15 agosto 2018</w:t>
      </w:r>
    </w:p>
    <w:p>
      <w:pPr>
        <w:pStyle w:val="Heading2"/>
      </w:pPr>
      <w:r>
        <w:t>Erwägungen</w:t>
      </w:r>
    </w:p>
    <w:p>
      <w:r>
        <w:rPr>
          <w:b/>
        </w:rPr>
        <w:t>E. 1</w:t>
      </w:r>
    </w:p>
    <w:p>
      <w:r>
        <w:t>Le recours est recevable pour avoir été déposé selon la forme et – faute de date de notification établie –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- 4/8 -</w:t>
      </w:r>
    </w:p>
    <w:p>
      <w:r>
        <w:t>P/1980/2018</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w:t>
      </w:r>
    </w:p>
    <w:p>
      <w:r>
        <w:t>- 5/8 -</w:t>
      </w:r>
    </w:p>
    <w:p>
      <w:r>
        <w:t>P/1980/2018</w:t>
      </w:r>
    </w:p>
    <w:p>
      <w:r>
        <w:t>dénoncé n'est pas punissable (A. KUHN / Y. JEANNERET (éds), op. cit., n. 10 ad art. 310; DCPR/104/2011 du 11 mai 2011).</w:t>
      </w:r>
    </w:p>
    <w:p>
      <w:r>
        <w:rPr>
          <w:b/>
        </w:rPr>
        <w:t>E. 4</w:t>
      </w:r>
    </w:p>
    <w:p>
      <w:r>
        <w:t>Le recourant estime qu'en parlant d'une notification "irrégulière, astucieuse et frauduleuse", conçue pour porter un grave préjudice à la société débitrice et à son administrateur, B______ avait commis une atteinte à son honneur qui ne pouvait pas être justifiée par application de l'art. 14 CP.</w:t>
      </w:r>
    </w:p>
    <w:p>
      <w:r>
        <w:rPr>
          <w:b/>
        </w:rPr>
        <w:t>E. 4.1</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132 IV 112 consid. 2.1; 128 IV 53 consid. 1a).</w:t>
      </w:r>
    </w:p>
    <w:p>
      <w:r>
        <w:rPr>
          <w:b/>
        </w:rPr>
        <w:t>E. 4.2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ch. 2 CP prévoit que l'auteur n'encourra aucune peine s'il prouve que les allégations qu'il a articulées ou propagées sont conformes à la vérité ou qu'il avait des raisons sérieuses de les tenir de bonne foi pour vraies. L'admission à la preuve libératoire constitue la règle. Elle ne peut être refusée que si deux conditions sont réunies cumulativement : l'auteur a agi principalement dans le but de dire du mal d'autrui et il s'est exprimé sans motif suffisant. 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4.3</w:t>
      </w:r>
    </w:p>
    <w:p>
      <w:r>
        <w:t>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t>- 6/8 -</w:t>
      </w:r>
    </w:p>
    <w:p>
      <w:r>
        <w:t>P/1980/2018</w:t>
      </w:r>
    </w:p>
    <w:p>
      <w:r>
        <w:rPr>
          <w:b/>
        </w:rPr>
        <w:t>E. 4.4</w:t>
      </w:r>
    </w:p>
    <w:p>
      <w:r>
        <w:t>À la lumière de ces principes, l'allégation selon laquelle le commandement de payer irrégulièrement notifié eût pu porter gravement préjudice à la société de B______ échappe à toute critique. S'exposer à devoir acquitter, par suite d'un commandement de payer non frappé d'opposition, une dette par hypothèse indue – puisque telle est la position de B______ – est assurément gravement préjudiciable. Soutenir par ailleurs, dans ce contexte, qu'une notification était "irrégulière" s'avère parfaitement approprié pour demander l'annulation de la poursuite à l'Autorité de surveillance, compétente pour ce faire. Certes, les termes qualifiant ladite notification d'astucieuse et de frauduleuse sont plus incisifs, tout particulièrement le second, qui emporte la volonté de tromper. Il convient cependant de constater que les passages où est utilisée l'expression "la partie intimée" (i.e. le recourant) se situent plus haut dans le texte; rien ne les relie aux épithètes litigieuses. En outre, la "réplique spontanée" qui les contient intervient après les auditions de témoins – soit après que l'emploi du temps de D______ le 7 juillet 2015 eut été établi et après que la postière eut expliqué que la mention d'une procuration signifiait qu'un tel document lui avait été remis –. Dans ces circonstances, il n'était pas excessif de nourrir le soupçon d'une interposition maligne (i.e. nuisible), mais d'origine inconnue ou indéterminée, et de l'exprimer dans les termes utilisés. Peu importe que B______ ait déclaré à la police que le recourant n'y serait pas étranger : ce soupçon-là n'est pas exprimé dans sa "réplique spontanée".</w:t>
      </w:r>
    </w:p>
    <w:p>
      <w:r>
        <w:rPr>
          <w:b/>
        </w:rPr>
        <w:t>E. 5</w:t>
      </w:r>
    </w:p>
    <w:p>
      <w:r>
        <w:t>Le recours s'avère, ainsi, infondé.</w:t>
      </w:r>
    </w:p>
    <w:p>
      <w:r>
        <w:rPr>
          <w:b/>
        </w:rPr>
        <w:t>E. 6</w:t>
      </w:r>
    </w:p>
    <w:p>
      <w:r>
        <w:t>Le recourant, qui succombe dans toutes ses conclusions, supportera les frais envers l'État, qui seront fixés en totalité à CHF 1'000.- (art. 428 al. 1 CPP et 13 al. 1 du Règlement fixant le tarif des frais en matière pénale, RTFMP; E 4 10.03). * * * * *</w:t>
      </w:r>
    </w:p>
    <w:p>
      <w:r>
        <w:t>- 7/8 -</w:t>
      </w:r>
    </w:p>
    <w:p>
      <w:r>
        <w:t>P/1980/2018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