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ACPR/629/2018 vom 16. Mai 2018</w:t>
      </w:r>
    </w:p>
    <w:p>
      <w:r>
        <w:t>GE Cour de justice, 2018-05-16, FR</w:t>
      </w:r>
    </w:p>
    <w:p>
      <w:r>
        <w:rPr>
          <w:b/>
        </w:rPr>
        <w:t xml:space="preserve">Quelle: </w:t>
      </w:r>
      <w:r>
        <w:t>https://mcp.opencaselaw.ch/entscheid/ge_gerichte_ACPR_629_2018</w:t>
      </w:r>
    </w:p>
    <w:p>
      <w:r>
        <w:t>FR: GE_GERICHTE ACPR/629/2018 du 16 mai 2018</w:t>
      </w:r>
    </w:p>
    <w:p>
      <w:r>
        <w:t>IT: GE_GERICHTE ACPR/629/2018 del 16 maggio 2018</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Les autorités et services désignés par les cantons au sens de l'art. 217 al. 2 CP ont qualité pour porter plainte indépendamment du fait qu'ils sont eux-mêmes lésés ou non concrètement par la violation de l'obligation d'entretien (ATF 119 IV 315 consid. 1b p. 317). À Genève, le SCARPA a qualité pour porter plainte en matière de violation d’obligations d’entretien (art. 4 de la Loi sur l’avance et le recouvrement des pensions alimentaires (LARPA); E 1 25). Le recours émane ainsi du plaignant qui, partie à la procédure (art. 104 al. 1 let. b CPP), a qualité pour agir, ayant un intérêt juridiquement protégé à la modification ou à l'annulation de la décision querellée (art. 382 al. 1 CPP). Il est, par conséquent, recevable.</w:t>
      </w:r>
    </w:p>
    <w:p>
      <w:r>
        <w:rPr>
          <w:b/>
        </w:rPr>
        <w:t>E. 2</w:t>
      </w:r>
    </w:p>
    <w:p>
      <w:r>
        <w:t>Le recourant conteste le classement de la procédure, estimant que le prévenu avait les moyens de s'acquitter de sa dette alimentaire.</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w:t>
      </w:r>
    </w:p>
    <w:p>
      <w:r>
        <w:t>- 6/8 -</w:t>
      </w:r>
    </w:p>
    <w:p>
      <w:r>
        <w:t>P/15534/2017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 qui lui sont offertes et qu'il pourrait accepter (ATF 126 IV 131 consid. 3a; Message du 26 juin 1985 concernant la modification du code pénal et du code pénal militaire, FF 1985 II 1070). La capacité économique du débiteur de verser la contribution d'entretien se détermine par analogie avec le droit des poursuites relatif au minimum vital (art. 93 LP; ATF 121 IV 272 consid. 3c). Le juge pénal est lié par la contribution d'entretien fixée par le juge civil (ATF 106 IV 36; arrêt du Tribunal fédéral 6B_264/2011 du 19 juillet 2011 consid.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1er octobre 2013 consid. 1.1). Il incombe en effet à celui qui doit assurer l'entretien de sa famille de se procurer de quoi satisfaire à son obligation (ATF 126 IV 131 précité). Il n'est pas nécessaire que le débiteur ait eu les moyens de fournir entièrement sa prestation, il suffit qu'il ait pu fournir plus qu'il ne</w:t>
      </w:r>
    </w:p>
    <w:p>
      <w:r>
        <w:t>- 7/8 -</w:t>
      </w:r>
    </w:p>
    <w:p>
      <w:r>
        <w:t>P/15534/2017 l'a fait et qu'il ait, dans cette mesure, violé son obligation d'entretien (ATF 114 IV 124 consid. 3b; arrêt du Tribunal fédéral 6B_1017/2016 du 10 juillet 2017 consid. 2.4).</w:t>
      </w:r>
    </w:p>
    <w:p>
      <w:r>
        <w:rPr>
          <w:b/>
        </w:rPr>
        <w:t>E. 2.3</w:t>
      </w:r>
    </w:p>
    <w:p>
      <w:r>
        <w:t>Le point 5 des normes d'insaisissabilité (E 60.04) prévoit de tenir compte des contributions d'entretien que le débiteur a payées de manière avérée à des personnes qui ne font pas ménage commun avec lui dans la période précédant la saisie et dont le paiement est dûment prouvé et qu’il devra également assumer pendant la durée de la saisie (ATF 121 III 20 consid. 3a). Seules les charges réellement acquittées sont susceptibles d'entrer dans le calcul du minimum vital (ATF 121 III 20 consid. 3a).</w:t>
      </w:r>
    </w:p>
    <w:p>
      <w:r>
        <w:rPr>
          <w:b/>
        </w:rPr>
        <w:t>E. 2.4</w:t>
      </w:r>
    </w:p>
    <w:p>
      <w:r>
        <w:t>En l'espèce, il est établi que le prévenu devait une contribution mensuelle de CHF 1'000.- pour l'entretien de C______ et D______ pendant la période pénale considérée et qu'il ne s'en est pas acquitté, ce qu'il ne conteste pas. Il est également établi que, durant ladite période, toute partie de son salaire dépassant CHF 5'740.10 était saisie, ce en raison d'une procédure de séquestre entamée par le recourant pour les pensions dues à ces mêmes enfants, entre le 1er juin 2004 et le 31 mars 2006. Une telle saisie ne lui laissait effectivement aucun solde lui permettant de s'acquitter des contributions d'entretiens dues. Le montant de la saisie était cependant basé sur un minimum vital n'intégrant pas les pensions alimentaires courantes. Or, tel aurait pu être le cas, ce qui aurait permis de dégager un tel solde. Le prévenu s'est toutefois refusé à toute démarche en ce sens, n'ayant même pas daigné contacter l'Office des poursuites à ce sujet alors qu'il y avait été invité par le recourant. Si, dans ses observations, il prétend avoir demandé à l'Office des poursuites le remboursement de montants payés en trop et que celui-ci était intervenu plus d'une année après la première saisie, force est de constater qu'il ne produit aucune pièce démontrant qu'il aurait effectué cette demande. En effet, la pièce qu'il produit à l'appui de son propos, soit le relevé de fin de saisie ne l'atteste pas. Au contraire, il ressort de cette pièce que l'Office des poursuites prévoit bel et bien de rembourser les sommes perçues en trop sans que cela ne résulte d'une démarche du prévenu. Il doit ainsi être retenu qu'il n'a fourni aucun effort pour s'acquitter de ses obligations financières. Par conséquent, il doit être considéré que le prévenu aurait pu disposer des moyens nécessaires pour s'acquitter des contributions d'entretien dues durant la période pénale, de sorte que les conditions d'applications de l'art. 217 al. 1 CP apparaissent suffisamment remplies par son renvoi en jugement.</w:t>
      </w:r>
    </w:p>
    <w:p>
      <w:r>
        <w:rPr>
          <w:b/>
        </w:rPr>
        <w:t>E. 3</w:t>
      </w:r>
    </w:p>
    <w:p>
      <w:r>
        <w:t>Fondé le recours sera admis et l'ordonnance querellée annulée.</w:t>
      </w:r>
    </w:p>
    <w:p>
      <w:r>
        <w:rPr>
          <w:b/>
        </w:rPr>
        <w:t>E. 4</w:t>
      </w:r>
    </w:p>
    <w:p>
      <w:r>
        <w:t>L'admission du recours ne donne pas lieu à la perception de frais (art. 428 al. 1 CPP).</w:t>
      </w:r>
    </w:p>
    <w:p>
      <w:r>
        <w:t>- 8/8 -</w:t>
      </w:r>
    </w:p>
    <w:p>
      <w:r>
        <w:t>P/15534/2017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