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ACPR/627/2021 vom 6. Mai 2021</w:t>
      </w:r>
    </w:p>
    <w:p>
      <w:r>
        <w:t>GE Cour de justice, 2021-05-06, FR</w:t>
      </w:r>
    </w:p>
    <w:p>
      <w:r>
        <w:rPr>
          <w:b/>
        </w:rPr>
        <w:t xml:space="preserve">Quelle: </w:t>
      </w:r>
      <w:r>
        <w:t>https://mcp.opencaselaw.ch/entscheid/ge_gerichte_ACPR_627_2021</w:t>
      </w:r>
    </w:p>
    <w:p>
      <w:r>
        <w:t>FR: GE_GERICHTE ACPR/627/2021 du 6 mai 2021</w:t>
      </w:r>
    </w:p>
    <w:p>
      <w:r>
        <w:t>IT: GE_GERICHTE ACPR/627/2021 del 6 maggio 2021</w:t>
      </w:r>
    </w:p>
    <w:p>
      <w:pPr>
        <w:pStyle w:val="Heading2"/>
      </w:pPr>
      <w:r>
        <w:t>Erwägungen</w:t>
      </w:r>
    </w:p>
    <w:p>
      <w:r>
        <w:rPr>
          <w:b/>
        </w:rPr>
        <w:t>E. 1.1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le recourant devant la Chambre de céans sont recevables (arrêt du Tribunal fédéral 1B_368/2014 du 5 février 2015 consid. 3.2 in fine).</w:t>
      </w:r>
    </w:p>
    <w:p>
      <w:r>
        <w:rPr>
          <w:b/>
        </w:rPr>
        <w:t>E. 2</w:t>
      </w:r>
    </w:p>
    <w:p>
      <w:r>
        <w:t>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(arrêt 6B_849/2018 du 9 novembre 2018 consid. 3.1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 ; R. PFISTER- LIECHTI (éd.), La procédure pénale fédérale, Fondation pour la formation continue des juges suisses, Berne 2010, p. 62 ;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n. 10 ad art. 310 ; DCPR/104/2011 du 11 mai 2011). Une non-entrée en matière s'impose lorsque le litige est de nature purement civile (ATF 137 IV 285 consid. 2.3 p. 287).</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w:t>
      </w:r>
    </w:p>
    <w:p>
      <w:r>
        <w:t>- 5/10 - P/6267/2021 Le principe in dubio pro duriore découle du principe de la légalité (art. 5 al. 1 Cst. et</w:t>
      </w:r>
    </w:p>
    <w:p>
      <w:r>
        <w:rPr>
          <w:b/>
        </w:rPr>
        <w:t>E. 2.2</w:t>
      </w:r>
    </w:p>
    <w:p>
      <w:r>
        <w:t>En cas de contexte conflictuel entourant le dépôt d'une plainte, il convient de considérer avec une certaine prudence les allégations des protagonistes et de ne les retenir que si elles sont corroborées par d'autres éléments objectifs (arrêt du Tribunal fédéral 1B_267/2011 consid. 3.2 du 29 août 2011).</w:t>
      </w:r>
    </w:p>
    <w:p>
      <w:r>
        <w:t>- 6/10 - P/6267/2021</w:t>
      </w:r>
    </w:p>
    <w:p>
      <w:r>
        <w:rPr>
          <w:b/>
        </w:rPr>
        <w:t>E. 2.3</w:t>
      </w:r>
    </w:p>
    <w:p>
      <w:r>
        <w:t>L'art. 139 ch. 1 CP punit, du chef de vol, celui qui, pour se procurer ou procurer à un tiers un enrichissement illégitime, aura soustrait une chose mobilière appartenant à autrui dans le but de se l'approprier. L'infraction suppose l'existence d'une chose mobilière appartenant à autrui: une autre personne que l'auteur doit avoir un droit de propriété sur la chose volée (ATF 124 IV 102 consid. 2 p. 104). Le comportement délictueux consiste à soustraire la chose. Autrement dit, une autre personne avait la possession de la chose (même non exclusive), l'auteur la lui enlève contre sa volonté et prend ainsi sa place. Le lésé devait être possesseur de la chose et l'auteur, par la soustraction, a acquis une possession qu'il n'avait pas auparavant (B. CORBOZ, Les infractions en droit suisse, vol. I, Berne 2010, n. 2 ad art. 139 CP).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(arrêt du Tribunal fédéral 6B_311/2013 du 28 mai 2013 consid. 2.4).</w:t>
      </w:r>
    </w:p>
    <w:p>
      <w:r>
        <w:rPr>
          <w:b/>
        </w:rPr>
        <w:t>E. 2.4</w:t>
      </w:r>
    </w:p>
    <w:p>
      <w:r>
        <w:t>Selon l'art. 138 ch. 1 al. 1 CP, commet un abus de confiance celui qui, pour se procurer ou procurer à un tiers un enrichissement illégitime, se sera approprié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(ATF 120 IV 276 consid. 2 p. 278). Une chose est confiée au sens de cette disposition lorsqu'elle est remise ou laissée à l'auteur pour qu'il l'utilise de manière déterminée dans l'intérêt d'autrui, en particulier pour la garder, l'administrer, la livrer ou la vendre selon des instructions qui peuvent être expresses ou tacites (ATF 120 IV 117 consid. 2b p. 115; 118 IV 32 consid. 2a p. 33). L'appropriation implique que l'auteur veut, d'une part, la dépossession durable du propriétaire et, d'autre part, qu'il entend s'attribuer la chose, au moins pour un temps ; cette volonté doit se manifester par des signes extérieurs : l'auteur doit se comporter d'une manière qui montre qu'il incorpore la chose à son patrimoine, que ce soit pour la conserver, la consommer ou l'aliéner, et se considère comme propriétaire, sans pour autant en avoir la qualité (ATF 121 IV 23 consid. 1c p. 25; 118 IV 148 consid. 2a p. 151et les arrêts cités), et ce, dans un dessein d'enrichissement illégitime (ATF 133 IV 21 consid. 6.1.2 p.27; arrêt du Tribunal fédéral 6B_61/2015 du 14 mars 2016 consid. 4.1).</w:t>
      </w:r>
    </w:p>
    <w:p>
      <w:r>
        <w:t>- 7/10 - P/6267/2021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 Du point de vue subjectif, l'auteur doit agir intentionnellement, avec le dessein de se procurer ou de procurer à un tiers un enrichissement illégitime, qui peut être réalisé par dol éventuel (ATF 118 IV 32 consid. 2 p.33).</w:t>
      </w:r>
    </w:p>
    <w:p>
      <w:r>
        <w:rPr>
          <w:b/>
        </w:rPr>
        <w:t>E. 2.5</w:t>
      </w:r>
    </w:p>
    <w:p>
      <w:r>
        <w:t>En l'espèce, le droit de propriété sur les objets litigieux, au sens du droit civil, est contesté par chacune des parties. La mise en cause admet avoir emporté avec elle les meubles et la vaisselle lors de son déménagement au Tessin le 23 octobre 2020, considérant qu'ils lui appartenaient, avant d'affirmer en avoir remboursé la valeur à son ex-compagnon en 2018, sans le démontrer par des pièces toutefois. Le recourant produit des quittances d'achat de ces biens en 2017. Il a cependant laissé ces objets dans l'appartement occupé par son ex- compagne, les qualifiant de cadeaux dans les échanges de courriels avec elle, avant de formuler à celle-ci une proposition de rachat, et de manifester son intention de les reprendre. Les déclarations des protagonistes sont donc contradictoires quant à la titularité de leurs droits sur les objets en question, y compris sur la machine à café dont on ignore où elle se trouve. Dans la mesure où la mise en cause avait ceux-ci en sa seule possession au moment de son déménagement, ce depuis deux ans environ et avec l'assentiment du recourant, on ne saurait lui reprocher de les avoir soustraits au sens de l'art. 139 CP, de sorte que les éléments constitutifs de cette disposition ne sont pas réalisés. Il n'est pas non plus possible de déterminer à satisfaction de droit, vu ce qui précède, que les objets en cause appartiennent au recourant et qu'ils auraient été confiés à la mise en cause, avec pour obligation de les tenir à sa disposition. Il n'est pas davantage possible de démontrer que l'intéressée savait clairement que ces biens n'étaient pas sa propriété et qu'elle commettait une infraction en les emportant avec elle. Il n'appartient enfin pas au droit pénal de trancher le sort d'objets ayant servi au couple dans le contexte d'une séparation. Dans ces circonstances, c'est à raison que le Ministère public a considéré que le litige relevait exclusivement de la juridiction civile.</w:t>
      </w:r>
    </w:p>
    <w:p>
      <w:r>
        <w:t>- 8/10 - P/6267/2021</w:t>
      </w:r>
    </w:p>
    <w:p>
      <w:r>
        <w:rPr>
          <w:b/>
        </w:rPr>
        <w:t>E. 2.6</w:t>
      </w:r>
    </w:p>
    <w:p>
      <w:r>
        <w:t>S'agissant de la restitution de la garantie de loyer et du remboursement des arriérés de loyer, vu notamment la co-titularité du bail et le désaccord portant sur les rapports internes entre colocataires, il sied de constater que, là également, le litige est de nature purement civile, aucune infraction pénale n'entrant en considération.</w:t>
      </w:r>
    </w:p>
    <w:p>
      <w:r>
        <w:rPr>
          <w:b/>
        </w:rPr>
        <w:t>E. 3</w:t>
      </w:r>
    </w:p>
    <w:p>
      <w:r>
        <w:t>Infondé, le recours sera rejeté.</w:t>
      </w:r>
    </w:p>
    <w:p>
      <w:r>
        <w:rPr>
          <w:b/>
        </w:rPr>
        <w:t>E. 4</w:t>
      </w:r>
    </w:p>
    <w:p>
      <w:r>
        <w:t>Le recourant, qui succombe, supportera les frais envers l'État, fixés en totalité à CHF 900.- (art. 428 al. 1 CPP et 13 al. 1 du Règlement fixant le tarif des frais en matière pénale, RTFMP ; E 4 10.03). * * * * *</w:t>
      </w:r>
    </w:p>
    <w:p>
      <w:r>
        <w:t>- 9/10 - P/6267/2021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