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ACPR/626/2022 vom 7. April 2022</w:t>
      </w:r>
    </w:p>
    <w:p>
      <w:r>
        <w:t>GE Cour de justice, 2022-04-07, FR</w:t>
      </w:r>
    </w:p>
    <w:p>
      <w:r>
        <w:rPr>
          <w:b/>
        </w:rPr>
        <w:t xml:space="preserve">Quelle: </w:t>
      </w:r>
      <w:r>
        <w:t>https://mcp.opencaselaw.ch/entscheid/ge_gerichte_ACPR_626_2022</w:t>
      </w:r>
    </w:p>
    <w:p>
      <w:r>
        <w:t>FR: GE_GERICHTE ACPR/626/2022 du 7 avril 2022</w:t>
      </w:r>
    </w:p>
    <w:p>
      <w:r>
        <w:t>IT: GE_GERICHTE ACPR/626/2022 del 7 aprile 2022</w:t>
      </w:r>
    </w:p>
    <w:p>
      <w:pPr>
        <w:pStyle w:val="Heading2"/>
      </w:pPr>
      <w:r>
        <w:t>Erwägungen</w:t>
      </w:r>
    </w:p>
    <w:p>
      <w:r>
        <w:rPr>
          <w:b/>
        </w:rPr>
        <w:t>E. 1.1</w:t>
      </w:r>
    </w:p>
    <w:p>
      <w:r>
        <w:t>Le recours a été déposé selon la forme et dans le délai prescrits (art. 90 al. 2, 385 al. 1 et 396 al. 1 CPP), par le prévenu, partie à la procédure (art. 104 al. 1 let. a CPP).</w:t>
      </w:r>
    </w:p>
    <w:p>
      <w:r>
        <w:rPr>
          <w:b/>
        </w:rPr>
        <w:t>E. 1.2</w:t>
      </w:r>
    </w:p>
    <w:p>
      <w:r>
        <w:t>Les griefs émis contre la décision constatant le caractère exploitable de l’enregistrement litigieux, ordonnance sujette à contestation auprès de la Chambre de céans (art. 393 al. 1 let. a CPP), sont recevables, le recourant disposant d'un intérêt juridiquement protégé à voir des moyens de preuves prétendument illicites écartés du dossier (art. 382 al. 1 CPP; ATF 143 IV 475 consid. 2.9; arrêt du Tribunal fédéral 1B_485/2021 du 26 novembre 2021 consid. 2.4.3).</w:t>
      </w:r>
    </w:p>
    <w:p>
      <w:r>
        <w:rPr>
          <w:b/>
        </w:rPr>
        <w:t>E. 1.3</w:t>
      </w:r>
    </w:p>
    <w:p>
      <w:r>
        <w:t>Tel n’est en revanche pas le cas de la conclusion – formulée tant par le recourant (au demeurant tardivement) que l'intimée – tendant à la jonction des causes P/1______/2018 et P/18317/2020, seul le Ministère public étant habilité à ordonner celle-là (art. 30 CPP) et sa décision étant ensuite susceptible de recours.</w:t>
      </w:r>
    </w:p>
    <w:p>
      <w:r>
        <w:rPr>
          <w:b/>
        </w:rPr>
        <w:t>E. 2</w:t>
      </w:r>
    </w:p>
    <w:p>
      <w:r>
        <w:t>Le prévenu dénonce une constatation incomplète/erronée des faits (art. 393 al. 2 let. b CPP).</w:t>
      </w:r>
    </w:p>
    <w:p>
      <w:r>
        <w:rPr>
          <w:b/>
        </w:rPr>
        <w:t>E. 2.1</w:t>
      </w:r>
    </w:p>
    <w:p>
      <w:r>
        <w:t>La norme précitée est violée lorsque des données pertinentes ne figurent pas à la procédure, respectivement quand un constat est contredit par une pièce s’y trouvant (Y. JEANNERET/ A. KUHN/ C. PERRIER DEPEURSINGE (éds), Commentaire romand : Code de procédure pénale suisse, 2ème éd., Bâle 2019, n. 78-80 ad art. 393; ACPR/481/2022 du 7 juillet 2022, consid. 3).</w:t>
      </w:r>
    </w:p>
    <w:p>
      <w:r>
        <w:rPr>
          <w:b/>
        </w:rPr>
        <w:t>E. 2.2</w:t>
      </w:r>
    </w:p>
    <w:p>
      <w:r>
        <w:t>En l'occurrence, la durée de l’enregistrement versé au dossier – seule donnée pertinente pour statuer sur l'(in)utilisation de cette preuve, à l'exclusion du temps</w:t>
      </w:r>
    </w:p>
    <w:p>
      <w:r>
        <w:t>- 8/13 - P/18317/2020 effectif de la conversation – est effectivement de 2 minutes et 10 secondes, comme l’a retenu le Ministère public. Le grief est, partant, infondé.</w:t>
      </w:r>
    </w:p>
    <w:p>
      <w:r>
        <w:rPr>
          <w:b/>
        </w:rPr>
        <w:t>E. 3</w:t>
      </w:r>
    </w:p>
    <w:p>
      <w:r>
        <w:t>Le recourant conteste le caractère exploitable de la discussion du 17 décembre 2017.</w:t>
      </w:r>
    </w:p>
    <w:p>
      <w:r>
        <w:t>3.1.1. En vertu de l’art. 141 al. 2 CPP, les preuves qui ont été administrées d'une manière illicite par les autorités pénales ne sont pas utilisables, à moins qu’elles soient indispensables pour élucider des infractions graves. Quand un particulier recueille de telles preuves – par exemple, en enregistrant, sur un porteur de son, une discussion privée sans le consentement de son interlocuteur, comportement qui est prohibé par l'art. 179ter CP –, celles-là ne sont exploitables que si, d'une part (cf. consid. 3.2), elles auraient pu être administrées licitement par les autorités pénales et, d'autre part (cf. consid. 3.3), une pesée des intérêts en présence plaide pour leur utilisation (ATF 147 IV 16 consid. 1.1; arrêt du Tribunal fédéral 6B_862/2021 du 21 juin 2022 consid. 2.1). 3.1.2. Il incombe, en principe, au juge du fond d'examiner la légalité et l'exploitabilité des moyens de preuve, notamment dans des cas d'application de l'art. 141 al. 2 CPP. Au stade de l'instruction, il convient de ne constater une inexploitabilité que dans des cas manifestes (arrêt du Tribunal fédéral 6B_862/2021 précité, consid. 2.4).</w:t>
      </w:r>
    </w:p>
    <w:p>
      <w:r>
        <w:t>3.2.1. Les dispositifs techniques de surveillance permettent d'observer ou d'enregistrer des actions se déroulant dans des lieux privés (cf. art. 280 let. b CPP). Ils peuvent être utilisés pour instruire des infractions aux art. 180 et 189 CP, mais non à l'art. 123 CP (art. 269 al. 2 let. a CPP, applicable par le renvoi de l'art. 281 al. 4 CPP). Pour ordonner cette mesure, de graves soupçons doivent laisser présumer la commission des actes poursuivis. Quand l’enregistrement a été effectué par un particulier, il n'est pas nécessaire, au moment où la discussion a eu lieu, que les autorités pénales eussent effectivement connu les faits fondant les soupçons propres à justifier une surveillance; il est, en revanche, impératif que de tels soupçons eussent existé. Autrement dit, l’infraction alléguée doit – à l’époque de la surveillance illicite – déjà avoir été commise (arrêts du Tribunal fédéral 6B_862/2021 précité, consid. 2.4; 6B_53/2020 du 14 juillet 2020 consid. 1.3; 6B_911/2017 du 27 avril 2018 consid. 1.2.2; 6B_983/2013 du 24 février 2014 consid. 3.3.1; cf. également ACPR/900/2020 du 11 décembre 2020, consid. 3.4 in fine), sans égard à l'ouverture d'une procédure pénale (arrêt du Tribunal fédéral 1B_91/2020 du 4 mars 2020 consid. 2.2).</w:t>
      </w:r>
    </w:p>
    <w:p>
      <w:r>
        <w:t>- 9/13 - P/18317/2020 Pour être mise en œuvre, la mesure doit, en outre, paraître adéquate, poursuivre un intérêt public et être susceptible de mener à des résultats concrets (art. 269 al. 1 let. b CPP; arrêt du Tribunal fédéral 1B_450/2017 du 29 mars 2018 consid. 4.1 in fine). Le principe de subsidiarité doit également être respecté (269 al. 1 let. c CPP). 3.2.2. Si, lors d'une surveillance, d'autres infractions que celles qui ont fait l'objet de celle-là sont découvertes, les informations recueillies peuvent être utilisées à l'encontre du prévenu lorsqu'une surveillance aurait pu être ordonnée aux fins de la poursuite de ces actes (art. 278 al. 1 CPP). L’exploitation des découvertes fortuites répond aux conditions de l’art. 269 CPP. Dans l'appréciation des soupçons suffisants, l'autorité pourra tenir compte des éléments nouvellement découverts (arrêt du Tribunal fédéral 6B_228/2018 du 22 août 2018 consid. 1.1).</w:t>
      </w:r>
    </w:p>
    <w:p>
      <w:r>
        <w:rPr>
          <w:b/>
        </w:rPr>
        <w:t>E. 3.3</w:t>
      </w:r>
    </w:p>
    <w:p>
      <w:r>
        <w:t>Concernant la pesée des intérêts, la notion d'infractions graves au sens de l'art. 141 al. 2 CPP doit s’examiner au regard du cas concret, respectivement de l'ensemble des circonstances l'entourant, et non seulement abstraitement selon la peine menace de l'infraction concernée (ATF 147 IV 16 précité, consid. 6; arrêt du Tribunal fédéral 6B_862/2021 précité, consid. 2.6).</w:t>
      </w:r>
    </w:p>
    <w:p>
      <w:r>
        <w:rPr>
          <w:b/>
        </w:rPr>
        <w:t>E. 3.4</w:t>
      </w:r>
    </w:p>
    <w:p>
      <w:r>
        <w:t>En l’espèce, la preuve litigieuse consiste en une conversation enregistrée le 17 décembre 2017, intervenue entre les parties dans un lieu privé. Cet enregistrement, effectué par l’intimée sans l’accord du recourant, contrevient prima facie à l’art. 179ter CP – question qui devra être définitivement tranchée au terme de l'instruction, par le Ministère public ou le(s) juge(s) du fond –. Il s’agit donc d’une preuve a priori illicite. 3.5.1. À la date précitée, le prévenu avait possiblement commis des lésions corporelles simples, celles-ci ayant débuté en juillet 2016 et s’étant achevées en janvier 2018. Il n’avait, en revanche, pas proféré de menaces, les premiers propos intimidants ayant été tenus au cours de la discussion enregistrée. S'agissant de l'acte de contrainte sexuelle allégué, l'on ignore s'il est intervenu avant ou après le 17 décembre 2017, l'intimée ayant fourni des informations peu précises sur ce point ("fin 2017"). Toutefois, rien n'exclut, à ce stade (cf. consid. 3.1.2.), qu'il eût été déjà commis au moment de l'enregistrement.</w:t>
      </w:r>
    </w:p>
    <w:p>
      <w:r>
        <w:t>- 10/13 - P/18317/2020 Dans cette hypothèse, l’autorité pénale aurait été habilitée à surveiller l’appartement en lien avec l’infraction à l’art. 189 CP. Si elle avait été informée de l’acte sexuel dénoncé, elle aurait retenu qu’il existait des soupçons suffisants de sa commission, en raison, d’une part, de la possible existence, à fin 2017 – seule période pertinente –, de violences conjugales (cf. art. 123 CP) et, d’autre part, de la crédibilité des dires de l'intimée, dont rien ne permettait (alors) de douter – les documents et témoignages que le recourant estime aptes à discréditer son épouse ne figurant pas encore au dossier –. La surveillance de l’appartement familial aurait répondu à un intérêt public, les faits litigieux – i.e. contraindre une personne à recevoir du sperme dans la bouche après s’être masturbé devant elle – étant indéniablement graves. Elle aurait été apte à élucider l'infraction et aucune autre mesure, moins invasive, n'eût été appropriée, l’acte dénoncé ayant été perpétré dans le cadre de l’intimité du couple. À cette aune, les autorités pénales auraient (potentiellement) pu ordonner l’enregistrement querellé en lien avec l’infraction alléguée à l’art. 189 CP. 3.5.2. Si elles l'avaient fait, une autre (éventuelle) infraction aurait alors été découverte, soit celle de menaces, le recourant ayant affirmé, au cours de la conversation enregistrée, qu’il "plante[rait]"l’intimée avec un couteau au cas où elle le quitterait. Auraient-elles été informées des propos précités que les autorités pénales auraient retenu une suspicion suffisante d’infraction à l’art. 180 CP. En effet, une telle affirmation était objectivement de nature à effrayer une personne déjà possiblement victime de violences psychiques et sexuelles (art. 123 et 189 CP). L'intimée s'est d'ailleurs exprimée d'une voix tremblante tout au long de la discussion, y compris lorsqu'elle a répondu à son époux "c’est pas grave". La surveillance de l’appartement aurait, ici aussi, répondu à un intérêt public, puisque la menace visait la lésion de biens juridiques importants, à savoir la vie et l’intégrité corporelle. Elle aurait été susceptible de prouver l'infraction concernée, sans qu’une autre mesure, moins invasive, eût semblé adéquate, les propos litigieux ayant été échangés à huis clos. Les autorités pénales auraient donc (possiblement) pu exploiter les informations fortuitement découvertes le 17 décembre 2017.</w:t>
      </w:r>
    </w:p>
    <w:p>
      <w:r>
        <w:rPr>
          <w:b/>
        </w:rPr>
        <w:t>E. 3.6</w:t>
      </w:r>
    </w:p>
    <w:p>
      <w:r>
        <w:t>Reste à déterminer si la pesée des intérêts en présence plaide, en l'état des éléments recueillis, pour une exploitabilité de l’enregistrement.</w:t>
      </w:r>
    </w:p>
    <w:p>
      <w:r>
        <w:t>- 11/13 - P/18317/2020 De manière abstraite, l’infraction à l’art. 189 CP est un crime et celle à l’art. 180 CP, un délit (art. 10 al. 2 et al. 3 CP). Concrètement, il vient d'être vu que les actes litigieux étaient graves (cf. considérant 3.5). L'intérêt public à la manifestation de la vérité est donc plutôt élevé. En comparaison, l'intérêt privé du recourant à ce que la preuve litigieuse reste inexploitée semble moindre, ce d’autant que l’atteinte causée à sa sphère intime a été unique et brève – la (partie de la) conversation divulguée aux autorités pénales étant de courte durée (2 minutes et 10 secondes) –. De plus, l'enregistrement litigieux permet de se rendre compte, de manière directe et sans filtre, de l'ambiance au sein de l'intimité du couple et du comportement du recourant envers l'intimée. Il pourrait donc constituer un élément relevant pour évaluer la crédibilité à donner aux déclarations faites par les parties durant la procédure quant à l'existence ou non des violences alléguées (pour une approche similaire cf. arrêt du Tribunal fédéral 6B_911/2017 précité, consid. 1.2.3 ainsi qu'ACPR/687/2018 du 21 novembre 2018, consid. 3.2 in fine); le recourant en cite d'ailleurs des extraits pour tenter de démontrer l'absence de fiabilité des déclarations de l'intimée.</w:t>
      </w:r>
    </w:p>
    <w:p>
      <w:r>
        <w:rPr>
          <w:b/>
        </w:rPr>
        <w:t>E. 3.7</w:t>
      </w:r>
    </w:p>
    <w:p>
      <w:r>
        <w:t>En conclusion, l’inexploitabilité du moyen de preuve litigieux, ainsi que de la retranscription y relative, n'apparaît pas manifeste – sans préjudice toutefois d'une interprétation divergente si l'instruction devait révéler que l'acte d'ordre sexuel incriminé a été commis après l'enregistrement litigieux, non plus que de l'appréciation du juge du fond –. Il s’ensuit que le recours doit être rejeté.</w:t>
      </w:r>
    </w:p>
    <w:p>
      <w:r>
        <w:rPr>
          <w:b/>
        </w:rPr>
        <w:t>E. 4</w:t>
      </w:r>
    </w:p>
    <w:p>
      <w:r>
        <w:t>Le prévenu, qui succombe (art. 428 al. 1, 1ère et 2ème phrases, CPP), supportera les frais envers l'État, fixés en totalité à CHF 1'000.- (art. 3 cum 13 al. 1 du Règlement fixant le tarif des frais en matière pénale, RTFMP; E 4 10.03).</w:t>
      </w:r>
    </w:p>
    <w:p>
      <w:r>
        <w:rPr>
          <w:b/>
        </w:rPr>
        <w:t>E. 5</w:t>
      </w:r>
    </w:p>
    <w:p>
      <w:r>
        <w:t>Représentée par une avocate, l'intimée, partie plaignante qui obtient gain de cause, n'a pas chiffré ni justifié de prétentions en indemnité au sens de l'art. 433 al. 2 CPP, applicable en instance de recours (art. 436 al. 1 CPP), de sorte qu'il ne lui en sera point alloué (arrêt du Tribunal fédéral 6B_1345/2016 du 30 novembre 2017 consid. 7.2). * * * * *</w:t>
      </w:r>
    </w:p>
    <w:p>
      <w:r>
        <w:t>- 12/13 - P/18317/2020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