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ACPR/622/2024 vom 28. Mai 2024</w:t>
      </w:r>
    </w:p>
    <w:p>
      <w:r>
        <w:t>GE Cour de justice, 2024-05-28, FR</w:t>
      </w:r>
    </w:p>
    <w:p>
      <w:r>
        <w:rPr>
          <w:b/>
        </w:rPr>
        <w:t xml:space="preserve">Quelle: </w:t>
      </w:r>
      <w:r>
        <w:t>https://mcp.opencaselaw.ch/entscheid/ge_gerichte_ACPR_622_2024</w:t>
      </w:r>
    </w:p>
    <w:p>
      <w:r>
        <w:t>FR: GE_GERICHTE ACPR/622/2024 du 28 mai 2024</w:t>
      </w:r>
    </w:p>
    <w:p>
      <w:r>
        <w:t>IT: GE_GERICHTE ACPR/622/2024 del 28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- 5/8 - P/18956/2023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Parmi les motifs de fait, on trouve l'impossibilité d'identifier l'auteur ((Y. JEANNERET / A. KUHN / C. PERRIER DEPEURSINGE (éds), op. cit., n. 9 et 9a ad art. 310).</w:t>
      </w:r>
    </w:p>
    <w:p>
      <w:r>
        <w:rPr>
          <w:b/>
        </w:rPr>
        <w:t>E. 3.2</w:t>
      </w:r>
    </w:p>
    <w:p>
      <w:r>
        <w:t>En l'espèce, malgré les actes entrepris, il n'a pas été possible d'identifier la ou les personnes à l'origine de l'information qui circulait sur le compte de la recourante – soit des vacances avec son supérieur hiérarchique, ce qui, selon elle, laissait sous- entendre une relation intime avec ce dernier – ou qui aurait contribué à sa propagation. En effet, il ressort des déclarations recueillies qu'il pourrait s'agir de bruits de couloir rapportés à la commission du personnel, espace empreint de confidentialité, dans lequel les employés s'expriment librement sur la vie du service. Par ailleurs, il apparaît que les propos incriminés concernaient, à l'origine, une éventuelle problématique de favoritisme de la part de C______ envers un petit groupe de collaborateurs sous sa responsabilité, plutôt que d'une relation intime avec la recourante. Or, par définition, une rumeur est changeante, au gré des oreilles qui l'écoutent et des bouches qui la colportent. Il est ainsi quasi impossible d'en remonter le fil pour établir l'identité de la ou des personnes à son origine ayant participé à sa propagation. D'ailleurs, même le responsable des ressources humaines n'a pas été en mesure de donner de nom, ignorant celui des personnes pouvant être en cause. Une nouvelle audition de E______ à ce sujet apparaît donc peu probante. Pour le même motif, l'audition du président de la commission du personnel, dont aucun élément au dossier ne permet de retenir qu'il aurait recueilli les propos incriminés ou qu'il détiendrait plus d'information quant à l'identité de la ou des personnes éventuellement impliquées, n'est pas non plus utile. Partant, il n'apparait pas que la ou les personnes à l'origine de la rumeur et de sa propagation pourraient être identifiées par le biais d'actes d'instruction complémentaires, y compris ceux sollicités. Aucun élément au dossier ne laisse non plus supposer l'existence d'un quelconque document, courriel, message WhatsApp ou autre, concernant les faits dénoncés. Les personnes interrogées n'y font aucunement mention, au demeurant. De plus, le sujet ayant été évoqué de manière volontairement informelle avec C______, la réalité de tels écrits semble d'autant moins vraisemblable.</w:t>
      </w:r>
    </w:p>
    <w:p>
      <w:r>
        <w:t>- 6/8 - P/18956/2023 Cette conclusion dispense la Chambre de céans – et dispensait le Ministère public – d'examiner si les propos litigieux étaient attentatoires à l'honneur de la recourante. C'est donc à bon droit que le Ministère public a refusé d'entrer en matière sur la plainte, et les mesures d'instruction réclamées seront rejetées.</w:t>
      </w:r>
    </w:p>
    <w:p>
      <w:r>
        <w:rPr>
          <w:b/>
        </w:rPr>
        <w:t>E. 4</w:t>
      </w:r>
    </w:p>
    <w:p>
      <w:r>
        <w:t>Justifiée, l'ordonnance querellée sera donc confirmée et le recours rejeté.</w:t>
      </w:r>
    </w:p>
    <w:p>
      <w:r>
        <w:rPr>
          <w:b/>
        </w:rPr>
        <w:t>E. 5</w:t>
      </w:r>
    </w:p>
    <w:p>
      <w:r>
        <w:t>La recourante, qui succombe, supportera les frais envers l'État, fixés en totalité à CHF1'000.- (art. 428 al. 1 CPP et 13 al. 1 du Règlement fixant le tarif des frais en matière pénale, RTFMP ; E 4 10.03). * * * * *</w:t>
      </w:r>
    </w:p>
    <w:p>
      <w:r>
        <w:t>- 7/8 - P/18956/2023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