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ACPR/622/2023 vom 18. Juli 2023</w:t>
      </w:r>
    </w:p>
    <w:p>
      <w:r>
        <w:t>GE Cour de justice, 2023-07-18, FR</w:t>
      </w:r>
    </w:p>
    <w:p>
      <w:r>
        <w:rPr>
          <w:b/>
        </w:rPr>
        <w:t xml:space="preserve">Quelle: </w:t>
      </w:r>
      <w:r>
        <w:t>https://mcp.opencaselaw.ch/entscheid/ge_gerichte_ACPR_622_2023</w:t>
      </w:r>
    </w:p>
    <w:p>
      <w:r>
        <w:t>FR: GE_GERICHTE ACPR/622/2023 du 18 juillet 2023</w:t>
      </w:r>
    </w:p>
    <w:p>
      <w:r>
        <w:t>IT: GE_GERICHTE ACPR/622/2023 del 18 luglio 2023</w:t>
      </w:r>
    </w:p>
    <w:p>
      <w:pPr>
        <w:pStyle w:val="Heading2"/>
      </w:pPr>
      <w:r>
        <w:t>Erwägungen</w:t>
      </w:r>
    </w:p>
    <w:p>
      <w:r>
        <w:rPr>
          <w:b/>
        </w:rPr>
        <w:t>E. 1</w:t>
      </w:r>
    </w:p>
    <w:p>
      <w:r>
        <w:t>Le recours est recevable pour avoir été déposé selon la forme prescrite (art. 384 al. 1, 385 al. 1 et 396 al. 1 CPP), concerner une ordonnance sujette à recours auprès de la Chambre de céans (art. 222 et 393 al. 1 let. b CPP; ACPR/254/2015 du 30 avril 2015 consid. 1 et les références; ACPR/12/2017 du 13 janvier 2017)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remet pas en cause l’existence de charges suffisantes contre lui.</w:t>
      </w:r>
    </w:p>
    <w:p>
      <w:r>
        <w:t>- 4/7 - P/11569/2023 Il n'y a ainsi pas à s'attarder sur ce point.</w:t>
      </w:r>
    </w:p>
    <w:p>
      <w:r>
        <w:rPr>
          <w:b/>
        </w:rPr>
        <w:t>E. 3</w:t>
      </w:r>
    </w:p>
    <w:p>
      <w:r>
        <w:t>Le recourant estime que le risque de fuite serait inexistant ou pourrait être pallié par les mesures de substitution qu'il propose.</w:t>
      </w:r>
    </w:p>
    <w:p>
      <w:r>
        <w:rPr>
          <w:b/>
        </w:rPr>
        <w:t>E. 3.1</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Ces cas de figure ne constituent pas des motifs de détention proprement dits au sens de l'art. 31 al. 1 Cst., mais apportent des précisions d'ordre procédural en relation avec les motifs de détention légaux de l'art. 221 CPP (arrêt du Tribunal fédéral 1B_210/2016 du 24 juin 2016 consid. 2.1). Le but est d’assurer l’exécution effective du condamné contre lequel il existe des indices concrets d’une intention de fuir à l’étranger ou de se cacher en Suisse pour se soustraire à l’exécution du jugement (Y. JEANNERET / A. KUHN / C. PERRIER DEPEURSINGE (éds), op. cit., n. 7 ad art. 231). Matériellement, l'art. 231 al. 1 CPP a notamment pour but d'assurer la recherche de la vérité dans les cas d'infractions graves, en particulier en cas de risque de fuite et de collusion. L'art. 221 al. 1 let. a CPP se trouve ainsi renforcé par l'art. 231 al. 1 CPP après une condamnation intervenue en première instance, notamment lorsque les faits concernant une infraction grave sont contestés (ATF 145 IV 503 consid. 2.1 p. 506 s.).</w:t>
      </w:r>
    </w:p>
    <w:p>
      <w:r>
        <w:rPr>
          <w:b/>
        </w:rPr>
        <w:t>E. 3.2</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consid. 2.2). Au surplus, le Tribunal fédéral a renforcé sa jurisprudence relative à l'obligation de l'autorité d'appel d'interroger elle-même le prévenu sur les faits et infractions contestés, indépendamment de l'intervention du défenseur du prévenu. Faute d'intensité suffisante dans l'audition du prévenu par la juridiction d'appel, la pratique du Tribunal fédéral est ainsi d'annuler l'arrêt sur appel et de renvoyer la cause à la dernière instance cantonale (ATF 145 IV 503 consid. 2.4; 143 IV 288 consid. 1.4.2- 1.4.4; arrêts du Tribunal fédéral 6B_903/2018 du 14 décembre 2018 consid. 3, non</w:t>
      </w:r>
    </w:p>
    <w:p>
      <w:r>
        <w:t>- 5/7 - P/11569/2023 publié in ATF 144 IV 383, et 6B_155/2019 du 29 mars 2019 consid. 3 ; pour le cas d’un assassinat commis à huis clos, ATF 145 IV 503, précité). En présence d'un risque de fuite évident,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 3.2 et 3.3.2). S'agissant du dépôt des pièces d'identité, la mesure est sans effet en ce qui concerne les documents établis par un Etat étranger (arrêts du Tribunal fédéral 1B_383/2020 du 13 août 2020 consid. 5.2.; 1B_168/2020 du 28 avril 2020 consid. 3.4).</w:t>
      </w:r>
    </w:p>
    <w:p>
      <w:r>
        <w:rPr>
          <w:b/>
        </w:rPr>
        <w:t>E. 3.3</w:t>
      </w:r>
    </w:p>
    <w:p>
      <w:r>
        <w:t>En l'espèce, le risque de fuite a été opposé au recourant, depuis son arrestation. À juste titre, ce dernier est français et n'a ni proche, ni travail ni domicile en Suisse. Depuis, il fait l'objet d'une condamnation, certes non encore définitive, et d'une expulsion, impliquant un renvoi en France. En outre, le recourant, qui conteste les faits, devra être entendu par l'autorité d'appel qu'il a saisie. Dans cette configuration, le recourant pourrait être tenté de se soustraire à l'exécution de la peine et de l'expulsion lui qui affirme ne pas vouloir retourner en France mais vouloir s'installer en Suisse. Il y a ainsi lieu de craindre qu'il ne disparaisse dans la clandestinité pour échapper à la sanction et au renvoi. Dans ces circonstances, l'obligation de se présenter au poste de police – qui n'a pas en elle-même de valeur dissuasive particulière – s'avère d'emblée inefficace. A fortiori en va-t-il de même de l'obligation de déposer tout document français de voyage et l'interdiction de quitter la Suisse. Celle de trouver un foyer en Suisse est incongrue au regard de sa situation et n'est pas de nature à pallier le risque retenu.</w:t>
      </w:r>
    </w:p>
    <w:p>
      <w:r>
        <w:rPr>
          <w:b/>
        </w:rPr>
        <w:t>E. 4</w:t>
      </w:r>
    </w:p>
    <w:p>
      <w:r>
        <w:t>En l'état, compte tenu de l’infraction principale dont le recourant a été déclaré coupable, de la peine encourue et de la durée de la détention déjà subie, le principe de la proportionnalité demeure respecté (art. 212 al. 3 CPP).</w:t>
      </w:r>
    </w:p>
    <w:p>
      <w:r>
        <w:rPr>
          <w:b/>
        </w:rPr>
        <w:t>E. 5</w:t>
      </w:r>
    </w:p>
    <w:p>
      <w:r>
        <w:t>Le recours est rejeté.</w:t>
      </w:r>
    </w:p>
    <w:p>
      <w:r>
        <w:rPr>
          <w:b/>
        </w:rPr>
        <w:t>E. 6</w:t>
      </w:r>
    </w:p>
    <w:p>
      <w:r>
        <w:t>Le recourant, qui n’a pas gain de cause, assumera les frais de l'instance (art. 428 al. 1 CPP), qui seront fixés en totalité à CHF 900.-, y compris l’émolument (art. 13 al. 1 du Règlement fixant le tarif des frais en matière pénale, RTFMP ; E 4 10.03).</w:t>
      </w:r>
    </w:p>
    <w:p>
      <w:r>
        <w:rPr>
          <w:b/>
        </w:rPr>
        <w:t>E. 7</w:t>
      </w:r>
    </w:p>
    <w:p>
      <w:r>
        <w:t>L'indemnité du défenseur d'office sera fixée à la fin de la procédure (art. 135 al. 2 CPP).</w:t>
      </w:r>
    </w:p>
    <w:p>
      <w:r>
        <w:t>* * * * *</w:t>
      </w:r>
    </w:p>
    <w:p>
      <w:r>
        <w:t>- 6/7 - P/11569/2023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