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ACPR/620/2025 vom 26. Juni 2025</w:t>
      </w:r>
    </w:p>
    <w:p>
      <w:r>
        <w:t>GE Cour de justice, 2025-06-26, FR</w:t>
      </w:r>
    </w:p>
    <w:p>
      <w:r>
        <w:rPr>
          <w:b/>
        </w:rPr>
        <w:t xml:space="preserve">Quelle: </w:t>
      </w:r>
      <w:r>
        <w:t>https://mcp.opencaselaw.ch/entscheid/ge_gerichte_ACPR_620_2025</w:t>
      </w:r>
    </w:p>
    <w:p>
      <w:r>
        <w:t>FR: GE_GERICHTE ACPR/620/2025 du 26 juin 2025</w:t>
      </w:r>
    </w:p>
    <w:p>
      <w:r>
        <w:t>IT: GE_GERICHTE ACPR/620/2025 del 26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 Dans un arrêt ACPR/642/2024 du 29 août 2024, la Chambre de céans a considéré, au sujet d'un recourant bénéficiant d'une situation stable financièrement, déjà condamné à trois reprises pour des faits en lien avec des stupéfiants à des peines pécuniaires, le</w:t>
      </w:r>
    </w:p>
    <w:p>
      <w:r>
        <w:t>- 5/8 - P/17991/2024 cas échéant cumulées avec une amende – deux d’entre elles portant également sur l’exercice illicite de la prostitution – qu'il n'y avait pas d'indices sérieux et concrets que le recourant pût être impliqué dans d’autres infractions, même futures, d’une certaine gravité et touchant des biens juridiques essentiels; si la LStup protégeait la santé publique, bien juridique essentiel, les sanctions prononcées de ce chef contre le recourant ne leur conféraient pas de gravité particulière.</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Certes, son casier judiciaire ne comporte pas de condamnation. Toutefois, dans la présente procédure, il est mis en cause à deux reprises, soit en août 2024 et en juin 2025, pour trafic de stupéfiants, notamment de cocaïne. Il a, dans les deux cas, été interpellé dans des lieux connus pour le trafic de stupéfiants. Que l'intéressé réfute ces accusations n'est pas suffisant pour annihiler tout soupçon à son égard en l'état. Ces mises en cause, auxquelles s'ajoute sa situation personnelle – absence de domicile connu et d'activité professionnelle avérée –, laissent craindre qu'il pourrait être impliqué dans d'autres infractions à la LStup encore inconnues des autorités, qui pourraient lui être attribuées si l'on était en mesure de comparer son profil d'ADN à des traces prélevées sur les lieux de leur commission. Enfin,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Contrairement à ce qu'affirme le recourant, cette directive ne vise pas uniquement les infractions graves à la LStup, se référant au contraire à l'art. 19 de cette loi sans distinction d'alinéa. L’argument tiré de l'arrêt ACPR/642/2024 n’y change rien. Dans ladite procédure, le prévenu – domicilié en France et mécanicien de profession – avait une situation stable financièrement, qui ne permettait pas de suspecter un ancrage dans la délinquance. Le recourant, quant à lui, est sans ressources avérées et n'a pas de domicile connu. Ses revenus allégués laissent en tout état clairement craindre qu'il n'ait été ou ne soit à l'avenir amené à commettre d'autres infractions. Partant, la mesure querellée n'apparaît pas inutile ou disproportionnée. Que son coût soit éventuellement mis à la charge du recourant – ce qui n'est pas évident à ce stade, dès lors que cette question ne se posera qu'à l'issue de la procédure et à la condition que l'intéressé soit condamné – n'est donc pas pertinent.</w:t>
      </w:r>
    </w:p>
    <w:p>
      <w:r>
        <w:t>- 6/8 - P/17991/2024 En définitive, l'ordonnance querellée ne prête pas le flanc à la critique, les réquisits pour le prononcé de l'établissement du profil d'ADN du recourant étant réunis.</w:t>
      </w:r>
    </w:p>
    <w:p>
      <w:r>
        <w:rPr>
          <w:b/>
        </w:rPr>
        <w:t>E. 3</w:t>
      </w:r>
    </w:p>
    <w:p>
      <w:r>
        <w:t>Justifiée, l'ordonnance attaquée sera donc confirmée. Le recours, qui s'avère mal fondé, pouvait d'emblée être traité sans échange d'écritures ni débats (art. 390 al. 2 et 5 a contrario CPP).</w:t>
      </w:r>
    </w:p>
    <w:p>
      <w:r>
        <w:rPr>
          <w:b/>
        </w:rPr>
        <w:t>E. 4</w:t>
      </w:r>
    </w:p>
    <w:p>
      <w:r>
        <w:t>Le recourant, qui succombe, supportera les frais envers l'État, fixés en totalité à CHF 500.- (art. 428 al. 1 CPP et 13 al. 1 du Règlement fixant le tarif des frais en matière pénale, RTFMP; E 4 10.03). L'autorité de recours est en effet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Il n'y a pas lieu d'indemniser à ce stade (cf. art. 135 al. 2 CPP) le défenseur d'office.</w:t>
      </w:r>
    </w:p>
    <w:p>
      <w:r>
        <w:t>* * * * *</w:t>
      </w:r>
    </w:p>
    <w:p>
      <w:r>
        <w:t>- 7/8 - P/17991/2024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