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ACPR/61/2026 vom 20. November 2025</w:t>
      </w:r>
    </w:p>
    <w:p>
      <w:r>
        <w:t>GE Cour de justice, 2025-11-20, FR</w:t>
      </w:r>
    </w:p>
    <w:p>
      <w:r>
        <w:rPr>
          <w:b/>
        </w:rPr>
        <w:t xml:space="preserve">Quelle: </w:t>
      </w:r>
      <w:r>
        <w:t>https://mcp.opencaselaw.ch/entscheid/ge_gerichte_ACPR_61_2026</w:t>
      </w:r>
    </w:p>
    <w:p>
      <w:r>
        <w:t>FR: GE_GERICHTE ACPR/61/2026 du 20 novembre 2025</w:t>
      </w:r>
    </w:p>
    <w:p>
      <w:r>
        <w:t>IT: GE_GERICHTE ACPR/61/2026 del 20 novembre 2025</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conteste la jonction des procédures au motif que leur stade d'avancement ne serait pas le même, qu'elles concernent des faits distincts, de gravité différente, et qu'elle pourrait avoir une incidence sur le droit de garde de ses deux enfants.</w:t>
      </w:r>
    </w:p>
    <w:p>
      <w:r>
        <w:rPr>
          <w:b/>
        </w:rPr>
        <w:t>E. 3.1</w:t>
      </w:r>
    </w:p>
    <w:p>
      <w:r>
        <w:t>L'art. 29 CPP règle le principe de l'unité de la procédure. Il prévoit qu'il y a lieu de poursuivre et juger, en une seule et même procédure, l'ensemble des infractions reprochées à un même prévenu. Le principe de l'unité de la procédure tend à éviter les jugements contradictoires et sert l'économie de la procédure (ATF 138 IV 29 consid. 3.2; ATF 138 IV 214 consid. 3.2; arrêt du Tribunal fédéral 1B_428/2018 du</w:t>
      </w:r>
    </w:p>
    <w:p>
      <w:r>
        <w:rPr>
          <w:b/>
        </w:rPr>
        <w:t>E. 3.2</w:t>
      </w:r>
    </w:p>
    <w:p>
      <w:r>
        <w:t>Selon l'art. 30 CPP, si des raisons objectives le justifient, le ministère public peut ordonner la disjonction de causes. La conduite de procédures séparées doit cependant rester l'exception. Elle tend à garantir la rapidité de l'instruction et à éviter un retard inutile (arrêt du Tribunal fédéral 7B_1184/2024 du 11 avril 2025 consid. 2.2.1 et 2.2.2).</w:t>
      </w:r>
    </w:p>
    <w:p>
      <w:r>
        <w:rPr>
          <w:b/>
        </w:rPr>
        <w:t>E. 3.3</w:t>
      </w:r>
    </w:p>
    <w:p>
      <w:r>
        <w:t>En l'espèce, le recourant est soupçonné d'avoir commis diverses infractions, objets des deux affaires précitées. Ces infractions doivent donc, en principe, être poursuivies conjointement (art. 29 al. 1 let. a CPP). Aucun motif ne milite pour que les causes soient traitées séparément (art. 30 CPP). Certes, leur état d'avancement n'est pas similaire, dans la mesure où la plus ancienne de ces procédures a fait l'objet d'une ordonnance pénale le 20 octobre 2025. Toutefois, le recourant y a formé opposition. Quant à la seconde procédure, elle se poursuit avec célérité, puisque le Ministère public a tenu pas moins de trois audiences depuis le 6 novembre 2025 et que la prochaine audience de confrontation est fixée au 21 janvier 2026. Dans la mesure où le second contexte de faits concerne des faits s'étant déroulés "entre quatre yeux", les éléments à instruire ne devraient pas aller au-delà de la confrontation de la plaignante au prévenu, ce qui ne nécessitera pas une instruction prolongée. La jonction querellée présente l'avantage, selon ce que le Ministère public décidera, de renvoyer le cas échéant le prévenu en jugement afin que soit prononcée une seule peine, s'il y a lieu, et d'éviter ainsi la problématique du prononcé d'une peine complémentaire (art. 49 al. 2 CP). Enfin, le recourant n'explique pas en quoi ses droits procéduraux seraient violés par la jonction contestée. Les motifs invoqués par le recourant relèvent plutôt des conséquences inhérentes à toute jonction. Le fait d'évoquer des craintes quant à la garde de ses enfants, dans la mesure où son ex-femme, plaignante dans la première procédure, pourrait utiliser à son encontre ce que la seconde plaignante a dénoncé dans</w:t>
      </w:r>
    </w:p>
    <w:p>
      <w:r>
        <w:t>- 8/10 - P/22034/2023 la procédure plus récente, ne suffisant pas à déroger au principe de l'unité de la procédure. En effet, la jonction critiquée n'entraîne pas, par elle-même, d'accès aux informations relevant de la sphère privée du recourant par l'une ou l'autre des parties plaignantes constituées dans les deux procédures jointes, car les conditions de consultation d'un dossier pénal en cours sont régies par des normes spécifiques et distinctes (cf. art. 101, 102 al. 1 et 108 CPP; ACPR/628/2021 du 23 septembre 2021 consid. 2.2). Il s'ensuit que l'ordonnance déférée, conforme aux réquisits des art. 29 et 30 CPP, est exempte de critique. 4. Le recours devra donc être rejeté. 5. Le recourant, qui succombe, supportera les frais envers l'État, fixés en totalité à CHF 900.- pour la procédure de recours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 6. Le recourant plaide au bénéfice d’une défense d’office. Dans la mesure où la procédure se poursuit, l'indemnité de son défenseur d'office sera fixée à la fin de la procédure (art. 135 al. 2 CPP). * * * * *</w:t>
      </w:r>
    </w:p>
    <w:p>
      <w:r>
        <w:rPr>
          <w:b/>
        </w:rPr>
        <w:t>E. 7</w:t>
      </w:r>
    </w:p>
    <w:p>
      <w:r>
        <w:t>novembre 2018 consid. 3.2).</w:t>
      </w:r>
    </w:p>
    <w:p>
      <w:r>
        <w:t>- 7/10 - P/22034/2023 De façon générale, l'art. 49 CP impose la règle de l'unité des poursuites qui veut que les infractions commises en concours doivent être réprimées dans un seul et même jugement et qu'un seul juge doive se prononcer sur l'ensemble des faits qui peuvent être reprochés à un délinquant. Cette solution permet d'éviter la multitude de jugements rendus à l'encontre du même prévenu, le prononcé d'une peine complémentaire ou peine d'ensemble, ainsi que les frais liés à toute nouvelle procédure. En ce sens, les intérêts de l'auteur sont préservés. La solution choisie par le législateur tend aussi à éviter des jugements contradictoires, que cela soit au niveau de la constatation de l'état de fait, de l'appréciation juridique ou de la fixation de la peine (ATF 138 IV 214 consid. 3; L. MOREILLON / A. PAREIN-REYMOND, Petit commentaire du Code de procédure pénale, 3ème éd., Bâle 2025, n. 3 ad art.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