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ACPR/619/2018 vom 23. Februar 2018</w:t>
      </w:r>
    </w:p>
    <w:p>
      <w:r>
        <w:t>GE Cour de justice, 2018-02-23, FR</w:t>
      </w:r>
    </w:p>
    <w:p>
      <w:r>
        <w:rPr>
          <w:b/>
        </w:rPr>
        <w:t xml:space="preserve">Quelle: </w:t>
      </w:r>
      <w:r>
        <w:t>https://mcp.opencaselaw.ch/entscheid/ge_gerichte_ACPR_619_2018</w:t>
      </w:r>
    </w:p>
    <w:p>
      <w:r>
        <w:t>FR: GE_GERICHTE ACPR/619/2018 du 23 février 2018</w:t>
      </w:r>
    </w:p>
    <w:p>
      <w:r>
        <w:t>IT: GE_GERICHTE ACPR/619/2018 del 23 febbraio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violé son droit d'être entendue.</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w:t>
      </w:r>
    </w:p>
    <w:p>
      <w:r>
        <w:rPr>
          <w:b/>
        </w:rPr>
        <w:t>E. 3.2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6B_4/2013 du 11 avril 2013 consid. 2.1 ; M. NIGGLI /M. HEER /H. WIPRÄCHTIGER, Schweizerische Strafprozessordnung /Schweizerische Jugendstrafprozessordnung, Basler Kommentar StPO/JStPO, Bâle 2011, n. 19-21 ad art. 310 ; A. DONATSCH / T. HANSJAKOB / V. LIEBER (éds), Kommentar zur Schweizerischen Strafprozessordnung (StPO), Zurich 2010, n. 11 ad art. 310).</w:t>
      </w:r>
    </w:p>
    <w:p>
      <w:r>
        <w:t>- 5/8 - P/24172/2017</w:t>
      </w:r>
    </w:p>
    <w:p>
      <w:r>
        <w:rPr>
          <w:b/>
        </w:rPr>
        <w:t>E. 3.3</w:t>
      </w:r>
    </w:p>
    <w:p>
      <w:r>
        <w:t>Conformément à la jurisprudence précitée, le Ministère public n'était pas tenu d'entendre la recourante avant de rendre l'ordonnance de non-entrée en matière querellée, de sorte que le grief est infondé.</w:t>
      </w:r>
    </w:p>
    <w:p>
      <w:r>
        <w:rPr>
          <w:b/>
        </w:rPr>
        <w:t>E. 4</w:t>
      </w:r>
    </w:p>
    <w:p>
      <w:r>
        <w:t>La recourante fait, en substance, grief au Ministère public de ne pas être entré en matière sur sa plainte pénale.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w:t>
      </w:r>
    </w:p>
    <w:p>
      <w:r>
        <w:t>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 ATF 137 IV 285 consid. 2.5 ; arrêts du Tribunal fédéral 6B_417/2017 du 10 janvier 2018 consid. 2.1.2 ; 6B_185/2016 du 30 novembre 2016 consid. 2.1.2 et les références). En cas de doute, il appartient donc au juge matériellement compétent de se prononcer (arrêt du Tribunal fédéral 6B_185/2016 du 20 novembre 2016 consid. 2.1.2 et les références).</w:t>
      </w:r>
    </w:p>
    <w:p>
      <w:r>
        <w:rPr>
          <w:b/>
        </w:rPr>
        <w:t>E. 4.2</w:t>
      </w:r>
    </w:p>
    <w:p>
      <w:r>
        <w:t>Les décisions et les actes de procédure du ministère public peuvent faire l'objet d'un recours pour des motifs de violation du droit, de constatation incomplète ou erronée des faits ou d'inopportunité (art. 393 al. 2 CPP).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/Y. JEANNERET (éds), Commentaire romand: Procédure pénale suisse, Bâle 2011, n. 17 ad art. 393 ; ACPR/609/2015 du 11 novembre 2015 consid. 3.1.1).</w:t>
      </w:r>
    </w:p>
    <w:p>
      <w:r>
        <w:rPr>
          <w:b/>
        </w:rPr>
        <w:t>E. 4.3</w:t>
      </w:r>
    </w:p>
    <w:p>
      <w:r>
        <w:t>Les faits et moyens de preuve nouveaux sont recevables devant l'instance de recours (arrêts du Tribunal fédéral 1B_768/2012 du 13 janvier 2013 consid. 2.1; 1B_332/2013 du 20 décembre 2013 consid. 6.2).</w:t>
      </w:r>
    </w:p>
    <w:p>
      <w:r>
        <w:t>- 6/8 - P/24172/2017 Seules les pièces nouvelles en relation avec l'abus de confiance sont recevables à l'exclusion de celles ayant trait à l'agression (cf. ci-après 4.5).</w:t>
      </w:r>
    </w:p>
    <w:p>
      <w:r>
        <w:rPr>
          <w:b/>
        </w:rPr>
        <w:t>E. 4.4</w:t>
      </w:r>
    </w:p>
    <w:p>
      <w:r>
        <w:t>Commet un abus de confiance au sens de l'art. 138 ch. 1 al. 2 CP, celui qui, sans droit, aura employé à son profit ou au profit d'un tiers, des valeurs patrimoniales qui lui avaient été confiées.</w:t>
      </w:r>
    </w:p>
    <w:p>
      <w:r>
        <w:rPr>
          <w:b/>
        </w:rPr>
        <w:t>E. 4.5</w:t>
      </w:r>
    </w:p>
    <w:p>
      <w:r>
        <w:t>En l'espèce, il ressort de la "quittance" produite par le mis en cause que la recourante se serait engagée à payer CHF 3'500.- pour l'achat d'un véhicule, dont elle a payé un acompte de CHF 2'000.- le 9 septembre 2017, le solde devant être versé le 31 septembre suivant. Certes, ce document n'est pas signé par la recourante, mais aucun autre élément ne permet de privilégier la version de celle-ci, selon laquelle elle aurait en réalité versé l'intégralité du montant dû pour le véhicule en question, soit selon elle CHF 3'200.-, ainsi que la somme de CHF 2'500.-, que le mis en cause aurait conservée sans lui remettre le second véhicule promis. En effet, l'intéressé a nié ces faits et aucun élément de preuve ne permet de corroborer les allégués de la recourante, cette dernière n'ayant au demeurant nullement offert de prouver ses déclarations d'une quelconque manière, hormis le fait qu'elle allègue disposer de preuves, sans pour autant les étayer. Il en va de même concernant la prétendue remise d'un montant de CHF 100.-, pour l'achat d'un téléphone portable, et la supposée rétention, par le mis en cause, d'objets lui appartenant. Au regard de ce qui précède, l'on ne voit pas en quoi le Ministère public aurait fait une constatation inexacte des faits en retenant que les versions étaient divergentes, que les éléments au dossier ne permettaient pas de retenir une prévention pénale suffisante d'abus de confiance, et qu'aucun acte d'instruction n'apparaissait de nature à apporter un élément probant.</w:t>
      </w:r>
    </w:p>
    <w:p>
      <w:r>
        <w:rPr>
          <w:b/>
        </w:rPr>
        <w:t>E. 4.6</w:t>
      </w:r>
    </w:p>
    <w:p>
      <w:r>
        <w:t>Par ailleurs, la plainte pénale ne portant pas sur les lésions corporelles que la recourante allègue, pour la première fois, dans son recours, il n'y a pas lieu d'examiner ces faits, pas plus que les pièces y relatives, faute de décision préalable du Ministère public à ce sujet (art. 393 al. 1 let. a CPP).</w:t>
      </w:r>
    </w:p>
    <w:p>
      <w:r>
        <w:rPr>
          <w:b/>
        </w:rPr>
        <w:t>E. 5</w:t>
      </w:r>
    </w:p>
    <w:p>
      <w:r>
        <w:t>Justifiée, l'ordonnance querellée sera donc confirmée.</w:t>
      </w:r>
    </w:p>
    <w:p>
      <w:r>
        <w:rPr>
          <w:b/>
        </w:rPr>
        <w:t>E. 6</w:t>
      </w:r>
    </w:p>
    <w:p>
      <w:r>
        <w:t>La recourante, qui succombe, supportera les frais envers l'État, qui seront fixés en totalité à CHF 700.- (art. 428 al. 1 CPP et 13 al. 1 du Règlement fixant le tarif des frais en matière pénale, RTFMP ; E 4 10.03) y compris un émolument de décision. * * * * *</w:t>
      </w:r>
    </w:p>
    <w:p>
      <w:r>
        <w:t>- 7/8 - P/24172/2017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