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ACPR/618/2019 vom 16. Mai 2019</w:t>
      </w:r>
    </w:p>
    <w:p>
      <w:r>
        <w:t>GE Cour de justice, 2019-05-16, FR</w:t>
      </w:r>
    </w:p>
    <w:p>
      <w:r>
        <w:rPr>
          <w:b/>
        </w:rPr>
        <w:t xml:space="preserve">Quelle: </w:t>
      </w:r>
      <w:r>
        <w:t>https://mcp.opencaselaw.ch/entscheid/ge_gerichte_ACPR_618_2019</w:t>
      </w:r>
    </w:p>
    <w:p>
      <w:r>
        <w:t>FR: GE_GERICHTE ACPR/618/2019 du 16 mai 2019</w:t>
      </w:r>
    </w:p>
    <w:p>
      <w:r>
        <w:t>IT: GE_GERICHTE ACPR/618/2019 del 16 maggio 2019</w:t>
      </w:r>
    </w:p>
    <w:p>
      <w:pPr>
        <w:pStyle w:val="Heading2"/>
      </w:pPr>
      <w:r>
        <w:t>Erwägungen</w:t>
      </w:r>
    </w:p>
    <w:p>
      <w:r>
        <w:rPr>
          <w:b/>
        </w:rPr>
        <w:t>E. 1</w:t>
      </w:r>
    </w:p>
    <w:p>
      <w:r>
        <w:t>Le recours est recevable pour avoir été déposé selon la forme et dans le délai prescrits – la décision querellée ayant été communiquée par pli simple – (art. 90 al. 2, 385 al. 1 et 396 al. 1 CPP), concerner une ordonnance sujette à recours auprès de la Chambre de céans (art. 393 al. 1 let. a CPP) et émaner du plaignant qui, partie à la</w:t>
      </w:r>
    </w:p>
    <w:p>
      <w:r>
        <w:t>- 6/14 - P/20960/2018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septembre 2013 consid. 4; ACPR/488/2014 du 31 octobre 2014 consid. 2.1; cf. toutefois l'arrêt du Tribunal fédéral 6B_1045/2014 du 19 mai 2015 consid. 4.3, non publié in ATF 141 IV 205, qui y voit une condition à l'ouverture de l'action pénale). 3.2.2. Aux termes de l'art. 3 al. 1 CP, le Code pénal suisse est applicable à quiconque commet un crime ou un délit en Suisse. En application de l'art. 8 CP, un crime ou un délit est réputé commis tant au lieu où l'auteur a agi ou aurait dû agir qu'au lieu où le résultat s'est produit (al. 1) ; une tentative est réputée commise tant au lieu où son auteur l'a faite qu'au lieu où, dans l'idée de l'auteur, le résultat devait se produire (al. 2). Le lieu où l'auteur a agi ou aurait dû agir est le lieu où il a réalisé l'un des éléments constitutifs de l'infraction. Il suffit qu'il réalise une partie – voire un seul – des actes constitutifs sur le territoire suisse ; le lieu où il décide de commettre l'infraction ou le</w:t>
      </w:r>
    </w:p>
    <w:p>
      <w:r>
        <w:t>- 7/14 - P/20960/2018 lieu où il réalise les actes préparatoires (non punissables) ne sont toutefois pas pertinents (ATF 144 IV 265 consid 2.7.2 p. 275). La notion de résultat a évolué au fil de la jurisprudence. À l'origine, le Tribunal fédéral a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consid. 3c à g p. 327 ss). Cette définition stricte a toutefois été tempérée dans différents arrêts subséquents (ATF 128 IV 145 consid. 2e p. 153 s.). La nécessité de prévenir les conflits de compétence négatifs dans les rapports internationaux justifie d'admettre la compétence des autorités pénales suisses, même en l'absence de lien étroit avec la Suisse (ATF 141 IV 205 consid. 5.2 p. 209 s. et les références; 133 IV 171 consid. 6.3 p. 177; arrêt du Tribunal fédéral 6B_659/2014 du 22 décembre 2017 consid. 6.3.1). 3.2.3. En matière d'abus de confiance portant sur des valeurs patrimoniales (art. 138 ch. 1 al. 2 CP), le comportement délictueux consiste à utiliser la valeur patrimoniale confiée contrairement aux instructions reçues, en s'écartant de la destination fixée (ATF 129 IV 257 consid. 2.2.1 p. 259). Quant au résultat visé par l'art. 8 al. 1 CP, celui-ci englobe tant le résultat recherché par l'auteur, soit l'enrichissement voulu ou obtenu par ce dernier (arrêt du Tribunal fédéral 6B_1335/2018 du 28 février 2019 consid. 4.4.2 et 4.4.3 et les références citées), que l'appauvrissement causé par l'abus de confiance. Ainsi, le Tribunal fédéral a estimé suffisant le fait qu'un compte ouvert en Suisse appartenant à une société ayant son siège en Suisse ne soit pas, à la suite d'un abus de confiance, crédité des actifs convenus (ATF 124 IV 241 consid. 4c et d p. 244 s.). Il s'agit de localiser le dommage en fonction des particularités de chaque cas d'espèce, en déterminant concrètement quelles valeurs patrimoniales sont touchées et quelles obligations découlent du rapport de confiance, et non en fonction de critères généraux tels que le domicile ou le siège de la personne lésée (A. DYENS, Territorialité et ubiquité en droit pénal international suisse, thèse Lausanne, Bâle 2014, n. 886 p. 275).</w:t>
      </w:r>
    </w:p>
    <w:p>
      <w:r>
        <w:rPr>
          <w:b/>
        </w:rPr>
        <w:t>E. 3.1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 3.2.1. L'incompétence des autorités pénales suisses à raison du lieu est constitutive d'un empêchement définitif de procéder au sens de l'art. 310 al. 1 let. b CPP (arrêts du Tribunal fédéral 6B_1355/2018 du 29 février 2019 consid. 4.5.1; 6B_127/2013 du</w:t>
      </w:r>
    </w:p>
    <w:p>
      <w:r>
        <w:rPr>
          <w:b/>
        </w:rPr>
        <w:t>E. 3.3</w:t>
      </w:r>
    </w:p>
    <w:p>
      <w:r>
        <w:t>En l'espèce, le recourant ne conteste pas que le lieu où la mise en cause a agi se situe à l'étranger. Il estime toutefois que l'appauvrissement consécutif au "détournement" de son dividende s'est matérialisé en Suisse, pays dans lequel il est domicilié et dispose de nombreuses attaches. On relèvera à cet égard que son seul domicile à Genève ne suffit pas pour reconnaître, de manière abstraite et sans examen spécifique des différents éléments constitutifs de l'infraction en cause, un rattachement territorial suffisant avec la Suisse. Les divers arrêts cités à l'appui de son recours ne conduisent pas à une autre solution. Dans l'ATF 124 IV 241, le Tribunal fédéral ne fonde pas la compétence des</w:t>
      </w:r>
    </w:p>
    <w:p>
      <w:r>
        <w:t>- 8/14 - P/20960/2018 autorités helvétiques du seul fait du siège en Suisse de la société lésée ou de son compte bancaire ouvert dans ce pays, mais bien de ce qu'il avait été convenu, avec les partenaires russes de cette société, que le produit de la vente des marchandises confiées devait être rétrocédé sur ledit compte bancaire. La restitution sur un compte bancaire suisse d'une entreprise dont le siège était en Suisse faisait ainsi partie intégrante du rapport de confiance noué entre les parties, de sorte que la diminution du patrimoine de la lésée s'était produite "immédiatement" en Suisse (consid. 4d p. 245, avec la référence à J.-L. COLOMBINI, La prise en considération du droit étranger dans le jugement pénal, thèse Lausanne 1983, p. 30 let. c, auteur qui admet, en note 54, un for en Suisse "si le devoir de délivrer la chose se situait en Suisse" ; dans le même sens: A. DYENS, op. cit., n. 885 p. 274 s.). Par ailleurs, l'affaire vaudoise citée par le recourant (Cour de cassation pénale du 20 mars 2006, publié in JdT 2006 III 49) avait trait à une escroquerie, dans laquelle le lésé, démarché en Suisse, avait prélevé de l'argent liquide, depuis la Suisse, sur son compte bancaire situé au Luxembourg. Les juges vaudois ont retenu que le résultat de l'escroquerie s'était produit en Suisse et que le compte bancaire luxembourgeois ne s'était pas appauvri, faute de personnalité juridique. Cette jurisprudence a été critiquée par la doctrine, relevant que l'appauvrissement ne s'était en réalité matérialisé que lorsque l'argent liquide avait par la suite été remis à l'auteur en Italie et que, à considérer que l'acte aurait consisté non pas en une remise en mains propres, mais en un virement bancaire, le dommage serait survenu au Luxembourg, lieu de situation du compte bancaire (A. DYENS, La localisation de l'appauvrissement en matière d'escroquerie transnationale, JdT 2006 III 57 ss, p. 62 s.). Le recourant ne saurait dans tous les cas tirer de ce précédent une compétence générale des autorités du lieu de son domicile, sans examiner les circonstances exactes entourant l'infraction (cf. déjà l'ATF 109 IV 1 consid. 3b p. 3, qui retient que le lieu où se trouve le titulaire des biens juridiques atteints ou menacés ne peut à lui seul constituer un for). Quant à l'arrêt du Tribunal pénal fédéral auquel le recourant se réfère (Cour des plaintes, BG.2015.44 du 11 janvier 2016), relatif à un conflit de fors, s'il retient le lieu du siège de la société comme pertinent, c'est bien parce que celle-ci avait confié, par contrat de leasing, un véhicule au prévenu, que celui-ci s'était approprié en ne le lui restituant pas, lui causant ainsi un appauvrissement (cf. à cet égard A. DYENS, op. cit., thèse Lausanne, Bâle 2014, n. 887 p. 275).</w:t>
      </w:r>
    </w:p>
    <w:p>
      <w:r>
        <w:rPr>
          <w:b/>
        </w:rPr>
        <w:t>E. 3.4</w:t>
      </w:r>
    </w:p>
    <w:p>
      <w:r>
        <w:t>En l'occurrence, sur la base des faits allégués dans la plainte, on comprend que la mise en cause, après avoir obtenu un droit de signature sur le compte bancaire de F______ SA et donc du pouvoir de disposer des fonds qui y était déposés, s'était vue confier la charge (précédemment du ressort de H______ LTD, société du recourant) de répartir lesdits fonds – produit de la vente du navire par F______ SA –, à titre de dividendes, entre les différents actionnaires de cette société, dont le recourant.</w:t>
      </w:r>
    </w:p>
    <w:p>
      <w:r>
        <w:t>- 9/14 - P/20960/2018 Le contenu exact de ce rapport de confiance n'est pas précisé dans la plainte, ni dans les pièces produites à son appui. On peut d'ailleurs douter de l'existence d'un tel rapport liant le recourant à la mise en cause, vu les tensions régnant entre eux (cf. notamment les différentes procédures pénales et civiles qui les opposaient déjà à l'époque, ou encore le fait que la mise au cause aurait "à l'insu" du recourant fait supprimer son droit de signature sur le compte de F______ SA), et se demander si ce n'est pas en réalité F______ SA qui a confié à la mise en cause – en lui accordant une procuration sur son compte bancaire (cf. ATF 119 IV 127) – le produit de la vente, charge à cette dernière de le répartir, comme auxiliaire de paiement, entre ses coactionnaires, lesquels n'apparaissent dès lors pas directement lésés. Quoiqu'il en soit, on comprend de l'e-mail de K______ du 10 septembre 2018 (cf. B.b.e. supra) qu'à cette date – soit après la vente du navire mais avant que la mise en cause ne soit, en lieu et place de K______ ou de la société H______ LTD, chargée de partager les dividendes en découlant –, les coordonnées bancaires de chacun des actionnaires n'avaient pas encore été remises, de sorte que les transferts ne pouvaient s'opérer. Le 26 septembre 2018, le recourant a ensuite requis de la mise en cause, désormais au bénéfice d'un pouvoir de signature sur le compte de F______ SA, qu'elle lui verse son dividende sur le compte bancaire de sa société H______ LTD auprès de la L______ à P______ [Grèce] (cf. B.b.g. supra). Si, comme le prétend le recourant, la mise en cause a alors commis un abus de confiance en ne s'exécutant pas et en transférant la somme due sur un compte ouvert au nom de ses avocats monégasques en Grande-Bretagne, force est alors de constater que ce "détournement" ne lui a causé de dommage qu'au lieu où les fonds devaient lui être transférés initialement, selon le rapport le liant à la mise en cause, soit en l'occurrence en Grèce. C'est dans ce pays que la diminution du patrimoine du recourant s'est "immédiatement" produite, au sens de la jurisprudence précitée. Lorsque le recourant affirme, dans sa plainte, qu'il "aurait dû recevoir [le dividende] sur l'un de ses comptes à Genève", il allègue un fait qui est contredit par les pièces qu'il produit, notamment son e-mail du 26 septembre 2018, qui contient l'instruction de verser sa part sur un compte à P______ [Grèce]. Son argument consistant à dire qu'il aurait par la suite transféré la somme sur l'un de ses comptes en Suisse s'épuise en de simples conjectures (il y avait "de fortes chances" ou "fort à parier"), étant précisé que le recourant admet, dans son courrier du 16 mai 2019, disposer de relations bancaires à l'étranger également et, surtout, n'avoir à l'époque "pas encore choisi" sur quel compte le dividende devait être versé. Le recourant ne saurait ainsi faire dépendre la compétence des autorités suisses de sa seule volonté – qui plus est hypothétique – de transférer dans ce pays des fonds qu'il aurait dû percevoir à l'étranger. Au demeurant, de la même manière qu'il ne suffit pas, pour fonder un résultat au sens de l'art. 8 CP, que le prix payé ailleurs soit ensuite transféré en Suisse (ATF 128 IV 145 consid. 2e p. 154 ; cf. également U. CASSANI, Die Anwendbarkeit des</w:t>
      </w:r>
    </w:p>
    <w:p>
      <w:r>
        <w:t>- 10/14 - P/20960/2018 schweizerischen Strafrechts auf internationale Wirtschaftsdelikte (Art. 3-7 StGB), RPS 114/1996 237 ss, p. 257 s.), on ne peut retenir un for du seul fait que le prix qui n'a pas été payé à l'étranger n'a, de ce fait, pas pu être transféré en Suisse. Les autres éléments mis en exergue dans les écritures de recours ne sont pas de nature à modifier ce qui précède. Le fait que, pour des raisons tactiques relevant des procédures pendantes contre lui à Genève, le recourant ait préféré désigner le compte de H______ LTD en Grèce, qui servait précédemment au paiement des dividendes aux actionnaires, en lieu et place de l'un de ses comptes en Suisse ne permet pas, en l'absence d'un appauvrissement constaté dans ce dernier pays, d'y fonder un for. Il en va de même des nombreuses attaches, notamment professionnelles, du recourant en Suisse. La tentative de contrainte dont la mise en cause se serait rendue coupable en lien avec les procédures en Suisse permet certes d'y envisager un point de rattachement (cf. consid. 4.3. infra), mais cette circonstance est dénuée de pertinence pour l'abus de confiance ici examiné, infraction pour laquelle la prénommée aurait cherché à porter atteinte au recourant en Grèce, en s'abstenant d'y verser, comme convenu, le dividende. Enfin, le recourant reconnaît lui-même que les fonds versés par la mise en cause sur son propre compte à Zurich ne sont pas ceux auxquels il peut prétendre, qui ont fait l'objet d'un transfert outre-manche. En tout état, le prononcé d'une éventuelle créance compensatrice n'est possible, à l'instar de la confiscation, que si l'infraction d'où proviennent les valeurs concernées ressortit à la compétence de la juridiction suisse (arrêt du Tribunal fédéral 1B_213/2013 du 27 septembre 2013 consid. 5.1) ce qui, au vu des considérations précédentes, n'est manifestement pas le cas. Ainsi, la décision entreprise, qui constate l'absence de compétence territoriale des autorités pénales genevoises en ce qui concerne l'infraction d'abus de confiance, ne peut qu'être confirmée et le grief du recourant, rejeté.</w:t>
      </w:r>
    </w:p>
    <w:p>
      <w:r>
        <w:rPr>
          <w:b/>
        </w:rPr>
        <w:t>E. 4</w:t>
      </w:r>
    </w:p>
    <w:p>
      <w:r>
        <w:t>Le recourant s'en prend également à l'ordonnance querellée en tant qu'elle n'entre pas en matière sur des faits constitutifs, selon lui, de tentative de contrainte.</w:t>
      </w:r>
    </w:p>
    <w:p>
      <w:r>
        <w:rPr>
          <w:b/>
        </w:rPr>
        <w:t>E. 4.1</w:t>
      </w:r>
    </w:p>
    <w:p>
      <w:r>
        <w:t>On peut renvoyer à ce qui figure ci-dessus pour ce qui est des conditions de l'ordonnance de non-entrée ne matière (cf. consid. 3.1. supra). 4.2.1.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 à-dire que la perspective de l'inconvénient présenté comme dépendant de la volonté</w:t>
      </w:r>
    </w:p>
    <w:p>
      <w:r>
        <w:t>- 11/14 - P/20960/2018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p. 19) ou l'envoi d'un commandement de payer d'une importante somme d'argent (arrêt du Tribunal fédéral 6B_1188/2017 du 5 juin 2018 consid. 3.1) constituent la menace d'un dommage sérieux.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 4.2.2.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4.3</w:t>
      </w:r>
    </w:p>
    <w:p>
      <w:r>
        <w:t>En l'espèce, le recourant est d'avis qu'en refusant de lui verser le dividende dû et en le conservant à titre de garantie, la mise en cause avait cherché à le faire céder aux prétentions élevées contre lui dans le cadre des procédures en cours. Dans la mesure où, de l'avis du recourant, le résultat voulu par la tentative de contrainte devait se produire à Genève, lieu où il est attrait en justice par la mise en cause, la compétence des autorités pénales genevoises paraît acquise (cf. art. 8 al. 2 CP). Cela étant, on peine à voir en quoi par son comportement, la mise en cause aurait exprimé une menace, qui plus un est d'un dommage sérieux, à l'encontre du recourant. Celle-ci s'est en effet contentée, dans son e-mail du 1er octobre 2018, d'informer le recourant de ce qu'elle refusait de lui verser sa part du produit de la vente, qu'elle conservait à titre de garantie dans l'attente de l'issue des procédures initiées contre lui à Genève. Contrairement à ce qu'affirme le recourant, on ne saurait comprendre des termes employés – "Those funds […] will remain there until the proceedings against you in Geneva are finalised, one way or another" – qu'elle entendait conserver ce montant pour son propre compte, quel que soit le résultat de la procédure genevoise. L'expression "one way or another" ne dénote pas, dans ce</w:t>
      </w:r>
    </w:p>
    <w:p>
      <w:r>
        <w:t>- 12/14 - P/20960/2018 contexte, la volonté de conserver dans tous les cas le dividende, mais bien celle de faire dépendre son versement de l'issue – positive ou négative – des procédures en cours, par exemple en vue d'une éventuelle compensation. Surtout, par son message du 1er octobre 2018, la mise en cause ne présente pas sa décision de ne pas verser au recourant le produit de la vente du navire comme la conséquence directe du refus, par ce dernier, de se plier à ses exigences. L'inconvénient de ne pas toucher le dividende n'est ainsi pas brandi comme une menace, afin de forcer le recourant à adopter un certain comportement à l'égard de la mise en cause, en l'occurrence d'acquiescer aux prétentions élevées contre lui à Genève. Au contraire, cette dernière exprime son souhait de conserver les fonds – qu'elle reconnaît apparemment devoir au recourant – comme garantie jusqu'à l'issue judiciaire des procès à Genève. Elle n'exprime dans ce cadre aucune menace précise à l'encontre du recourant. Le fait qu'il ait compris de cet e-mail qu'elle ne "lésinerait devant aucune action à son encontre" ne permet pas encore d'y voir une tentative de contrainte. Quant au bien-fondé de la démarche, notamment la question de la titularité des créances respectives ou leur absence de lien de connexité, cet élément relève des seules juridictions civiles saisies du litige entre les parties, étant précisé que le recourant a d'ores-et-déjà annoncé vouloir demander le versement de son dividende par voie reconventionnelle dans la procédure C/2______/2018. Partant, la non-entrée en matière se justifie également au regard de l'infraction de tentative de contrainte et le grief doit être rejeté.</w:t>
      </w:r>
    </w:p>
    <w:p>
      <w:r>
        <w:rPr>
          <w:b/>
        </w:rPr>
        <w:t>E. 5</w:t>
      </w:r>
    </w:p>
    <w:p>
      <w:r>
        <w:t>Justifiée, l'ordonnance querellée sera donc confirmée.</w:t>
      </w:r>
    </w:p>
    <w:p>
      <w:r>
        <w:rPr>
          <w:b/>
        </w:rPr>
        <w:t>E. 6</w:t>
      </w:r>
    </w:p>
    <w:p>
      <w:r>
        <w:t>Le recourant, qui succombe, supportera les frais envers l'État, fixés en totalité à CHF 1'500.- (art. 428 al. 1 CPP et 13 al. 1 du Règlement fixant le tarif des frais en matière pénale, RTFMP ; E 4 10.03). * * * * *</w:t>
      </w:r>
    </w:p>
    <w:p>
      <w:r>
        <w:t>- 13/14 - P/20960/2018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