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ACPR/617/2024 vom 31. Mai 2024</w:t>
      </w:r>
    </w:p>
    <w:p>
      <w:r>
        <w:t>GE Cour de justice, 2024-05-31, FR</w:t>
      </w:r>
    </w:p>
    <w:p>
      <w:r>
        <w:rPr>
          <w:b/>
        </w:rPr>
        <w:t xml:space="preserve">Quelle: </w:t>
      </w:r>
      <w:r>
        <w:t>https://mcp.opencaselaw.ch/entscheid/ge_gerichte_ACPR_617_2024</w:t>
      </w:r>
    </w:p>
    <w:p>
      <w:r>
        <w:t>FR: GE_GERICHTE ACPR/617/2024 du 31 mai 2024</w:t>
      </w:r>
    </w:p>
    <w:p>
      <w:r>
        <w:t>IT: GE_GERICHTE ACPR/617/2024 del 31 maggio 2024</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soutient qu'il existe une prévention suffisante à l'égard de la mise en cause.</w:t>
      </w:r>
    </w:p>
    <w:p>
      <w:r>
        <w:t>- 6/10 - P/28059/2023</w:t>
      </w:r>
    </w:p>
    <w:p>
      <w:r>
        <w:rPr>
          <w:b/>
        </w:rPr>
        <w:t>E. 3.1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arrêt du Tribunal fédéral 6B_196/2020 du 14 octobre 2020 consid. 3.1). Dans le doute, lorsque les conditions d'une non-entrée en matière ne sont pas réalisées avec une certitude absolue, l'instruction doit être ouverte (arrêt 6B_196/2020 précité; ATF 143 IV 241 consid. 2.2.1; ATF 138 IV 86 consid. 4.1).</w:t>
      </w:r>
    </w:p>
    <w:p>
      <w:r>
        <w:rPr>
          <w:b/>
        </w:rPr>
        <w:t>E. 3.2</w:t>
      </w:r>
    </w:p>
    <w:p>
      <w:r>
        <w:t>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134 IV 189 consid. 1.2).</w:t>
      </w:r>
    </w:p>
    <w:p>
      <w:r>
        <w:rPr>
          <w:b/>
        </w:rPr>
        <w:t>E. 3.3</w:t>
      </w:r>
    </w:p>
    <w:p>
      <w:r>
        <w:t>L’art. 144 ch. 1 CP réprime le comportement de quiconque endommage, détruit ou met hors d'usage une chose, soit appartenant à autrui, soit frappée d'un droit d'usage ou d'usufruit au bénéfice d'autrui.</w:t>
      </w:r>
    </w:p>
    <w:p>
      <w:r>
        <w:rPr>
          <w:b/>
        </w:rPr>
        <w:t>E. 3.4</w:t>
      </w:r>
    </w:p>
    <w:p>
      <w:r>
        <w:t>En l'espèce, si les parties s'accordent sur le fait qu'une dispute est survenue le jour des faits, elles divergent sur le déroulement de celle-ci. Il est admis que la recourante a ramené une plaque de cuisson, achetée trois mois plus tôt. Puis, la mise en cause a proposé à la recourante de tester l'appareil, ce que cette dernière considérait comme inutile, étant précisé que la question de savoir si la recourante a d'abord demandé l'échange de l'appareil avant de se plaindre du fait que celui-ci ne fonctionnait pas bien n'est pas pertinente pour l'issue du litige.</w:t>
      </w:r>
    </w:p>
    <w:p>
      <w:r>
        <w:t>- 7/10 - P/28059/2023 Puis, si les parties s'accordent sur le fait que la mise en cause a déposé la plaque dans un sac près de la porte d'entrée, à l'intérieur du magasin – faits qui ne sont constitutifs d'aucune infraction en l'absence de dessein d'appropriation –, la mise en cause a déclaré que la recourante avait, au préalable, jeté l'appareil par terre, ce que cette dernière conteste. Or, la version de la mise en cause est corroborée par le témoin qui a confirmé avoir entendu un bruit et vu la plaque au sol avant que la recourante quitte le commerce par la seconde sortie. La recourante n'explique d'ailleurs pas comment la plaque se serait retrouvée à cet endroit. La recourante soutient ensuite que la mise en cause l'aurait poussée pour qu'elle sorte du magasin. Or, il semble peu probable que les faits se soient déroulés tels que décrits par la recourante, dès lors que le témoin a confirmé les dires de la mise en cause selon lesquels cette dernière s'était approchée de la porte avant que la recourante lui demande de ne pas s'approcher. Par la suite, si la recourante a admis avoir donné un coup de pied dans des articles à l'intérieur du magasin, elle dit avoir agi en réaction au comportement de la mise en cause, laquelle avait notamment jeté le sac contenant la plaque et s'était emparée de son téléphone. Or, ses déclarations à ce sujet ont sensiblement varié. En effet, la recourante a tout d'abord expliqué, lors de sa première audition par la police, que la mise en cause avait jeté à deux reprises le sac contenant la plaque, étant précisé que la seconde fois son téléphone se trouvait également à l'intérieur du sac. Puis, lors de sa seconde audition par la police, elle n'a fait état que d'un lancer lors duquel la plaque avait été endommagée. Enfin, dans le cadre de son recours, si la recourante réitère que la mise en cause avait jeté ledit sac à deux reprises, elle expose que cette dernière s'était emparée, dans un second temps, de son téléphone, qu'elle avait aussi jeté. Les divergences dans ses déclarations sont donc de nature à amoindrir sa crédibilité. La mise en cause a, quant à elle, toujours contesté avoir jeté ledit sac à l'extérieur du magasin et endommagé les appareils. Si elle a admis s'être emparée du téléphone de la recourante, elle a expliqué avoir agi de la sorte après que cette dernière eut donné un coup de pied dans des articles se trouvant dans le magasin. Les déclarations du témoin corroborent la version de la mise en cause sur ces points. Il a en effet expliqué avoir vu sa collègue déposer le sac à l'extérieur du magasin. Le fait qu'il ait utilisé le terme "tranquillement" pour décrire le geste de la mise en cause laisse penser que cette dernière n'a pas jeté le sac, ce bien qu'il n'ait pas vu la fin du mouvement de celle-ci. Il n'a pas non plus rapporté avoir entendu un bruit à cette occasion. De plus, il a vu la recourante rentrer dans le magasin et distribuer des coups de pied dans la pile de cartons après que sa collègue eut déposé le sac contenant la plaque à l'extérieur du magasin.</w:t>
      </w:r>
    </w:p>
    <w:p>
      <w:r>
        <w:t>- 8/10 - P/28059/2023 Au vu de ce qui précède, il n'est pas établi que la mise en cause aurait jeté le sac contenant la plaque et/ou le téléphone à l'extérieur du magasin, ni qu'elle aurait endommagé ces objets. Dans ce contexte et en l'absence d'autre élément de preuve objectif, on ne voit pas quel acte d'enquête supplémentaire serait pertinent. En particulier, une audience de confrontation apparait inutile dès lors que les parties persisteraient assurément dans leurs allégués. Une réaudition du témoin n'apparait pas non plus pertinente, dès lors qu'il s'est déjà prononcé sur les faits auxquels il avait assisté. Enfin, une expertise de la plaque et/ou du téléphone ne permettrait pas d'établir que la mise en cause serait à l'origine des éventuels dégâts occasionnés.</w:t>
      </w:r>
    </w:p>
    <w:p>
      <w:r>
        <w:rPr>
          <w:b/>
        </w:rPr>
        <w:t>E. 4</w:t>
      </w:r>
    </w:p>
    <w:p>
      <w:r>
        <w:t>Justifiée, l'ordonnance querellée sera donc confirmée et le recours rejeté.</w:t>
      </w:r>
    </w:p>
    <w:p>
      <w:r>
        <w:rPr>
          <w:b/>
        </w:rPr>
        <w:t>E. 5</w:t>
      </w:r>
    </w:p>
    <w:p>
      <w:r>
        <w:t>La recourante, qui succombe, supportera les frais envers l'État, fixés en totalité à CHF 900.- (art. 428 al. 1 CPP et 13 al. 1 du Règlement fixant le tarif des frais en matière pénale, RTFMP ; E 4 10.03). * * * * *</w:t>
      </w:r>
    </w:p>
    <w:p>
      <w:r>
        <w:t>- 9/10 - P/28059/2023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