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ACPR/616/2019 vom 23. August 2018</w:t>
      </w:r>
    </w:p>
    <w:p>
      <w:r>
        <w:t>GE Cour de justice, 2018-08-23, FR</w:t>
      </w:r>
    </w:p>
    <w:p>
      <w:r>
        <w:rPr>
          <w:b/>
        </w:rPr>
        <w:t xml:space="preserve">Quelle: </w:t>
      </w:r>
      <w:r>
        <w:t>https://mcp.opencaselaw.ch/entscheid/ge_gerichte_ACPR_616_2019</w:t>
      </w:r>
    </w:p>
    <w:p>
      <w:r>
        <w:t>FR: GE_GERICHTE ACPR/616/2019 du 23 août 2018</w:t>
      </w:r>
    </w:p>
    <w:p>
      <w:r>
        <w:t>IT: GE_GERICHTE ACPR/616/2019 del 23 agosto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tiers saisis qui, partie à la procédure (art. 105 al. 1 let. f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maintien du séquestre sur ses avoirs bancaires.</w:t>
      </w:r>
    </w:p>
    <w:p>
      <w:r>
        <w:rPr>
          <w:b/>
        </w:rPr>
        <w:t>E. 3.1</w:t>
      </w:r>
    </w:p>
    <w:p>
      <w:r>
        <w:t>Selon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t>- 13/17 - P/18021/2012 L'art. 263 al. 1 CPP prévoit que des valeurs patrimoniales appartenant au prévenu ou à des tiers peuvent être mises sous séquestre, notamment, lorsqu'il est probable qu'elles devront être confisquées (let. d). Si le motif du séquestre disparaît, le ministère public ou le tribunal lève la mesure et restitue les objets et valeurs patrimoniales à l'ayant droit (art. 267 al. 1 CPP).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dispositions requérant l'existence d'un tel rapport de connexité (ATF 140 IV 57 consid. 4.1.2). Par "personne concernée"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références cités).</w:t>
      </w:r>
    </w:p>
    <w:p>
      <w:r>
        <w:rPr>
          <w:b/>
        </w:rPr>
        <w:t>E. 3.2</w:t>
      </w:r>
    </w:p>
    <w:p>
      <w:r>
        <w:t>Une mesure de séquestre est en principe proportionnée du simple fait qu'elle porte sur des valeurs dont on peut vraisemblablement admettre qu'elles pourront être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arrêt du Tribunal fédéral 1B_416/2012 du 30 octobre 2012 consid. 2.1).</w:t>
      </w:r>
    </w:p>
    <w:p>
      <w:r>
        <w:t>- 14/17 - P/18021/2012</w:t>
      </w:r>
    </w:p>
    <w:p>
      <w:r>
        <w:rPr>
          <w:b/>
        </w:rPr>
        <w:t>E. 3.3</w:t>
      </w:r>
    </w:p>
    <w:p>
      <w:r>
        <w:t>En l'espèce, F______ est prévenu d’avoir employé sans droit, notamment à son profit, des fonds confiés en gestion à B______. Il appartiendra au juge du fond, s'il le déclare coupable, de décider s'il prononce une créance compensatrice à son encontre. Les fonds du compte A______ sont ainsi importants à cet égard. À teneur des documents versés à la procédure, le prévenu est l'ayant droit économique des avoirs du compte de la recourante; en ce qu'il gérait les fonds de ses clients auprès de la Banque, et ensuite comme gérant indépendant affilié à l'OARG, il ne peut sérieusement prétendre ignorer l'importance légale du formulaire A. La Banque l'avait également considéré comme l'ayant droit au point de ne pas l'autoriser à gérer lui-même les avoirs de la recourante, soit les siens, alors même qu'il était le gérant de ceux de sa femme ou de la société C______ CORP. Si les fonds litigieux semblent provenir du frère de E______, rien ne permet de considérer qu'ils seraient une partie des fonds visés par l'accord passé entre le frère et la sœur, faute de convention écrite produite voire même de déclaration en ce sens du frère. En outre, seraient-ils une soulte, non officielle, de cet accord que rien n'aurait empêché l'épouse d'en faire don à son mari. On se doit, en effet, de considérer qu'au même moment où le compte litigieux était ouvert, le prévenu faisait procéder à la création de la Fondation A______, propriétaire des actions de A______, dont il est le premier bénéficiaire, son épouse et ses enfants venant ensuite. Une donation entre époux pouvant être motivée par suffisamment de raisons, une telle situation, compte notamment tenu de l'immense fortune de la seconde citée, n'est en soi pas invraisemblable. L'allégation selon laquelle le prévenu aurait été annoncé faussement comme étant l'ayant droit économique des avoirs du compte pour cacher leur destination à son beau-frère, et ainsi au fisc espagnol, n'emporte pas suffisamment conviction à ce stade de la procédure. D'une part, les fonds provenaient d'un compte non déclaré du frère, de sorte que l'on peine à imaginer que ce dernier aurait pris le risque, en dénonçant sa sœur, de révéler sa propre situation à l'administration fiscale espagnole; ils ont été retiré par l'émission d'un chèque et versés sur le compte étude de l'administrateur de la société – tout comme ceux, également non déclarés, versés sur le compte C______ CORP, trois ans plus tôt, et dont E______ est l'ayant droit économique – interrompant ainsi le "paper trail", sans qu'il se justifie de créer un faux formulaire A. "La peur du frère et du fisc espagnol" peine ainsi à convaincre. Les déclarations du prévenu et de son épouse s'agissant de la titularité des fonds de la recourante peuvent également être liées aux besoins de la cause et au souci de privilégier la seconde dont il apparaît qu'elle aurait également été victime des agissements du son mari, par le biais des prélèvements sur le compte C______ CORP. Les déclarations des employés de la Banque ne permettent pas de retenir que les fonds litigieux appartenaient en fin de compte à E______; certains sont affirmatifs à dire que les avoirs appartenaient au prévenu, d'autres à sa femme. Les déclarations de l'employé, contacté par le prévenu, apparaissent à ce point différentes</w:t>
      </w:r>
    </w:p>
    <w:p>
      <w:r>
        <w:t>- 15/17 - P/18021/2012 de celles de ses collègues, qu'il appartiendra au juge du fond de les apprécier dans leur ensemble. Enfin, le comportement actif du prévenu, après la révélation des faits, tend à retenir qu'il s'est toujours présenté comme étant l'ayant droit économique des avoirs du compte A______; son épouse, par un comportement tout aussi actif, s'est quant elle présentée comme ayant droit économique des avoirs du compte C______ CORP et non de ceux de A______, sauf à adopter en cours de procédure une position différente. C'est ainsi à bon droit que le Ministère public a retenu qu'il appartiendrait au juge du fond de se prononcer sur la question de l'ayant droit économique des avoirs de la recourante.</w:t>
      </w:r>
    </w:p>
    <w:p>
      <w:r>
        <w:rPr>
          <w:b/>
        </w:rPr>
        <w:t>E. 4</w:t>
      </w:r>
    </w:p>
    <w:p>
      <w:r>
        <w:t>Justifiée, la décision querellée sera donc confirmée.</w:t>
      </w:r>
    </w:p>
    <w:p>
      <w:r>
        <w:rPr>
          <w:b/>
        </w:rPr>
        <w:t>E. 5</w:t>
      </w:r>
    </w:p>
    <w:p>
      <w:r>
        <w:t>La recourante, qui succombe, supportera les frais envers l'État, qui comprendront un émolument de CHF 1'500.- (art. 428 al. 1 CPP et 13 al. 1 du Règlement fixant le tarif des frais en matière pénale, RTFMP ; E 4 10.03). * * * * *</w:t>
      </w:r>
    </w:p>
    <w:p>
      <w:r>
        <w:t>- 16/17 - P/18021/2012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