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ACPR/615/2021 vom 22. April 2021</w:t>
      </w:r>
    </w:p>
    <w:p>
      <w:r>
        <w:t>GE Cour de justice, 2021-04-22, FR</w:t>
      </w:r>
    </w:p>
    <w:p>
      <w:r>
        <w:rPr>
          <w:b/>
        </w:rPr>
        <w:t xml:space="preserve">Quelle: </w:t>
      </w:r>
      <w:r>
        <w:t>https://mcp.opencaselaw.ch/entscheid/ge_gerichte_ACPR_615_2021</w:t>
      </w:r>
    </w:p>
    <w:p>
      <w:r>
        <w:t>FR: GE_GERICHTE ACPR/615/2021 du 22 avril 2021</w:t>
      </w:r>
    </w:p>
    <w:p>
      <w:r>
        <w:t>IT: GE_GERICHTE ACPR/615/2021 del 22 aprile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notification conforme à l'art. 85 al. 2 CPP – dans le délai prescrits (art. 310 al. 2, 322 al. 2, 385 al. 1 et art. 396 al. 1 CPP), et concerne une ordonnance sujette à recours auprès de la Chambre de céans (art. 393 al. 1 let. a CPP).</w:t>
      </w:r>
    </w:p>
    <w:p>
      <w:r>
        <w:rPr>
          <w:b/>
        </w:rPr>
        <w:t>E. 2.2</w:t>
      </w:r>
    </w:p>
    <w:p>
      <w:r>
        <w:t>Seule une partie qui a un intérêt juridiquement protégé à la modification ou à l'annulation de la décision querellée a qualité pour recourir contre celle-ci (art. 382 al. 1 CPP).</w:t>
      </w:r>
    </w:p>
    <w:p>
      <w:r>
        <w:rPr>
          <w:b/>
        </w:rPr>
        <w:t>E. 2.3</w:t>
      </w:r>
    </w:p>
    <w:p>
      <w:r>
        <w:t>On entend par partie plaignante le lésé qui déclare expressément vouloir participer à la procédure pénale comme demandeur au pénal ou au civil (art. 118 al. 1 CPP).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Lorsque les faits ne sont pas définitivement arrêtés,</w:t>
      </w:r>
    </w:p>
    <w:p>
      <w:r>
        <w:t>- 7/11 - P/17073/2020 il faut se fonder sur les allégués de celui qui se prétend lésé pour déterminer si tel est effectivement le cas (ATF 119 IV 339 consid. 1d/aa).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rPr>
          <w:b/>
        </w:rPr>
        <w:t>E. 2.4</w:t>
      </w:r>
    </w:p>
    <w:p>
      <w:r>
        <w:t>Lorsque le lésé décède sans avoir renoncé à ses droits de procédure, ceux-ci passent à ses proches au sens de l'art. 110 al. 1 CP, dans l'ordre de succession (art. 121 al. 1 CPP). Les proches visés par cette disposition sont son conjoint, son partenaire enregistré, ses parents en ligne directe, ses frères et sœurs germains, consanguins ou utérins ainsi que ses parents, frères et sœurs et enfants adoptifs. La liste est exhaustive et doit faire l'objet d'une interprétation restrictive (M. NIGGLI / H. WIPRÄCHTIGER, Basler Kommentar Strafrecht I : Art. 1-110 StGB, Jugendstrafgesetz, Bâle, 2013, n. 3 ad art. 110).</w:t>
      </w:r>
    </w:p>
    <w:p>
      <w:r>
        <w:rPr>
          <w:b/>
        </w:rPr>
        <w:t>E. 2.5</w:t>
      </w:r>
    </w:p>
    <w:p>
      <w:r>
        <w:t>La poursuite de certaines infractions commises au préjudice de proches (soit notamment les parents en ligne directe, cf. art. 110 al. 1 CP) implique le dépôt d'une plainte pénale au sens de l'art. 30 CP. Tel est le cas de l'abus de confiance (art. 138 al. 1 CP) et de la gestion déloyale (art. 158 ch. 3 CP). Le délai de plainte se prescrit par trois mois ; il court du jour où l'ayant droit a connu l'auteur de l'infraction (art. 31 CP). Le point de départ du délai est la connaissance de l'auteur et de l'acte délictueux, c'est-à-dire des éléments constitutifs objectifs et subjectifs de l'infraction. 2.6.1. En l'occurrence, les infractions dénoncées, si tant est qu'elles puissent être établies, ont été commises, si l'on se réfère aux allégués de la recourante et aux pièces figurant au dossier, uniquement au préjudice de feu B______, mais non pas de la recourante directement. Certes, ces actes étaient susceptibles d'avoir des répercussions sur le patrimoine de cette dernière, en raison de la diminution de la masse successorale qui pouvait en résulter et, partant, de la réduction de la part dévolue aux héritiers, légaux ou institués. Il ne s'agit toutefois là que d'une atteinte indirecte au patrimoine de la recourante, lequel ne serait touché qu'en second lieu, ce qui ne suffit pas à lui conférer la qualité de lésée.</w:t>
      </w:r>
    </w:p>
    <w:p>
      <w:r>
        <w:t>- 8/11 - P/17073/2020 Il est, en effet, constant que les prélèvements et transferts litigieux ont été réalisés du vivant du de cujus, qui était, à l'époque des faits, l'unique propriétaire des valeurs patrimoniales concernées. Ainsi, la recourante ne disposait, avant le décès de son père – conformément au principe "viventis non datur hereditas" –, pas d'un droit, mais seulement d'une expectative de droit (arrêt du Tribunal fédéral 6B_868/2019 du</w:t>
      </w:r>
    </w:p>
    <w:p>
      <w:r>
        <w:rPr>
          <w:b/>
        </w:rPr>
        <w:t>E. 3</w:t>
      </w:r>
    </w:p>
    <w:p>
      <w:r>
        <w:t>Justifiée, l'ordonnance querellée sera donc confirmée.</w:t>
      </w:r>
    </w:p>
    <w:p>
      <w:r>
        <w:rPr>
          <w:b/>
        </w:rPr>
        <w:t>E. 4</w:t>
      </w:r>
    </w:p>
    <w:p>
      <w:r>
        <w:t>La recourante, qui succombe, supportera les frais envers l'État, qui seront fixés en totalité à CHF 1'000.- (art. 428 al. 1 CPP et 13 al. 1 du Règlement fixant le tarif des frais en matière pénale, RTFMP ; E 4 10.03). * * * * *</w:t>
      </w:r>
    </w:p>
    <w:p>
      <w:r>
        <w:t>- 10/11 - P/17073/2020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