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ACPR/614/2024 vom 17. Januar 2024</w:t>
      </w:r>
    </w:p>
    <w:p>
      <w:r>
        <w:t>GE Cour de justice, 2024-01-17, FR</w:t>
      </w:r>
    </w:p>
    <w:p>
      <w:r>
        <w:rPr>
          <w:b/>
        </w:rPr>
        <w:t xml:space="preserve">Quelle: </w:t>
      </w:r>
      <w:r>
        <w:t>https://mcp.opencaselaw.ch/entscheid/ge_gerichte_ACPR_614_2024</w:t>
      </w:r>
    </w:p>
    <w:p>
      <w:r>
        <w:t>FR: GE_GERICHTE ACPR/614/2024 du 17 janvier 2024</w:t>
      </w:r>
    </w:p>
    <w:p>
      <w:r>
        <w:t>IT: GE_GERICHTE ACPR/614/2024 del 17 gennaio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sa plainte pour diffamation, voire calomnie.</w:t>
      </w:r>
    </w:p>
    <w:p>
      <w:r>
        <w:rPr>
          <w:b/>
        </w:rPr>
        <w:t>E. 2.1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ATF 138 IV 86 consid. 4.1, arrêt 6B_196/2020 précité).</w:t>
      </w:r>
    </w:p>
    <w:p>
      <w:r>
        <w:rPr>
          <w:b/>
        </w:rPr>
        <w:t>E. 2.2</w:t>
      </w:r>
    </w:p>
    <w:p>
      <w:r>
        <w:t>Le ministère public rend également une ordonnance de non-entrée en matière en cas d'empêchement de procéder (art. 310 al. 1 let. b CPP), par exemple lorsque le délai pour déposer plainte prévu par l'art. 31 CP n'a pas été respecté (arrêt du Tribunal fédéral 6B_848/2018 du 4 décembre 2018 consid. 1.5).</w:t>
      </w:r>
    </w:p>
    <w:p>
      <w:r>
        <w:t>- 7/10 - P/20023/2023</w:t>
      </w:r>
    </w:p>
    <w:p>
      <w:r>
        <w:rPr>
          <w:b/>
        </w:rPr>
        <w:t>E. 2.3</w:t>
      </w:r>
    </w:p>
    <w:p>
      <w:r>
        <w:t>Selon l'art. 31 CP, le droit de porter plainte se prescrit par trois mois. Le délai pour porter plainte ne commence à courir que lorsque le lésé a connu l'infraction et l'auteur de celle-ci (ATF 130 IV 97 consid. 2).</w:t>
      </w:r>
    </w:p>
    <w:p>
      <w:r>
        <w:rPr>
          <w:b/>
        </w:rPr>
        <w:t>E. 2.4</w:t>
      </w:r>
    </w:p>
    <w:p>
      <w:r>
        <w:t>Une plainte pénale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Ainsi, en cas d'injure par exemple, il n'est pas nécessaire que la plainte reproduise exactement les termes injurieux. La qualification des faits incombe aux autorités de poursuite pénale. En présence d'un ensemble de faits, le lésé a la possibilité de limiter sa plainte à certains d'entre eux (arrêt du Tribunal fédéral 7B_18/2022 du 28 juin 2024, consid. 3.3.2 et références citées).</w:t>
      </w:r>
    </w:p>
    <w:p>
      <w:r>
        <w:rPr>
          <w:b/>
        </w:rPr>
        <w:t>E. 2.5</w:t>
      </w:r>
    </w:p>
    <w:p>
      <w:r>
        <w:t>Se rend coupable d'injure quiconque aura, par la parole, l'écriture, l'image, le geste ou par des voies de fait, attaqué autrui dans son honneur (art. 177 al. 1 CP).</w:t>
      </w:r>
    </w:p>
    <w:p>
      <w:r>
        <w:rPr>
          <w:b/>
        </w:rPr>
        <w:t>E. 2.6</w:t>
      </w:r>
    </w:p>
    <w:p>
      <w:r>
        <w:t>L'art. 173 CP réprime, du chef de diffamation, quiconque, en s'adressant à un tiers, accuse une personne ou jette sur elle le soupçon de tenir une conduite contraire à l'honneur, ou de tout autre fait propre à porter atteinte à sa considération.</w:t>
      </w:r>
    </w:p>
    <w:p>
      <w:r>
        <w:rPr>
          <w:b/>
        </w:rPr>
        <w:t>E. 2.7</w:t>
      </w:r>
    </w:p>
    <w:p>
      <w:r>
        <w:t>Les infractions d'injure et de diffamation se poursuivent sur plainte.</w:t>
      </w:r>
    </w:p>
    <w:p>
      <w:r>
        <w:rPr>
          <w:b/>
        </w:rPr>
        <w:t>E. 3</w:t>
      </w:r>
    </w:p>
    <w:p>
      <w:r>
        <w:t>En l'espèce, la recourante a déposé plainte pénale à la police le 14 mars 2023 pour des menaces que B______ aurait proférées à son encontre le 1er mars précédent dans les locaux du SPAD, état de fait qui n'est pas l'objet de l'ordonnance de non-entrée en matière querellée. À la fin de son récit, elle a ajouté "je tiens aussi à préciser qu'il met sur les réseaux sociaux […] que je suis une prostituée et que je suis une garce toxique, ainsi que plusieurs choses me dénigrant". Elle ne remet pas en cause le fait qu'elle n'a à ce moment-là pas déposé de quelconque document à l'appui de ses dires. Devant la police en juillet 2023, B______ a contesté avoir dénigré la recourante sur les réseaux sociaux; il avait possiblement "déclaré des choses" sans le vouloir sous l'effet de Dormicum. Il n'a pu être confronté à de quelconques pièces étayant les accusations de la recourante. Le 28 février 2024, celle-ci a écrit au Ministère public que B______ l'avait "bombardée de messages pour l'invectiver et l'insulter". Il l'avait diffamée sur les réseaux sociaux et l'avait dénoncée à la police pour des infractions qui n'existaient que dans sa tête. Les agissements de B______ à son encontre n'avaient pas cessé. En cas de besoin, elle était en mesure de fournir les preuves nécessaires et tenait à disposition l'ensemble des courriels reçus. Elle n'a donc à cette occasion pas davantage étayé sa plainte du 14 mars 2023, se proposant simplement de le faire.</w:t>
      </w:r>
    </w:p>
    <w:p>
      <w:r>
        <w:t>- 8/10 - P/20023/2023 Le Ministère public lui a alors clairement répondu, quelques jours plus tard, qu'il ne pourrait donner de quelconque suite à son courrier du 28 février 2024 sans plainte pénale. Il l'a invitée soit à lui transmettre une telle plainte, avec les pièces justificatives utiles, soit à prendre rendez-vous à la police en apportant ces mêmes pièces. Elle n'en a rien fait. Il se trouve que l'ordonnance querellée a été rendue le 17 janvier 2024, soit avant que le Ministère public ne soit interpellé par la recourante. Ceci ne change rien au fait que cette dernière n'a pas donné la suite suggérée par le Ministère public dans son courrier du 8 mars 2024 et a au contraire attendu que lui soit notifiée l'ordonnance de non-entrée en matière le 12 avril 2024 pour réagir en déposant un recours contre celle-ci et en produisant des pièces à l'appui de ses propos. Toutefois, ces pièces sont soit postérieures au dépôt de plainte du 14 mars 2023, soit non datées. En tout état, étant rappelé que les infractions d'injure et de diffamation sont poursuivies sur plainte, dans un délai de trois mois à compter de la connaissance de l'infraction et de son auteur, il doit être retenu que celle – la seule – déposée le 14 mars 2023 n'était pas assez précise, puisqu'elle ne mentionnait notamment pas la période concernée, la fréquence des agissements, ni n'était documentée. Elle ne répondait donc pas aux réquisits exigés par la jurisprudence. Au vu de ces circonstances, c'est à bon droit que le Ministère public a décidé de ne pas entrer en matière sur ladite plainte, de sorte que, justifiée, l'ordonnance querellée sera confirmée.</w:t>
      </w:r>
    </w:p>
    <w:p>
      <w:r>
        <w:rPr>
          <w:b/>
        </w:rPr>
        <w:t>E. 4</w:t>
      </w:r>
    </w:p>
    <w:p>
      <w:r>
        <w:t>Infondé, le recours sera rejeté.</w:t>
      </w:r>
    </w:p>
    <w:p>
      <w:r>
        <w:rPr>
          <w:b/>
        </w:rPr>
        <w:t>E. 5</w:t>
      </w:r>
    </w:p>
    <w:p>
      <w:r>
        <w:t>La recourante, qui succombe, supportera les frais envers l'État, qui seront fixés en totalité à CHF 300.- vu sa situation personnelle (art. 428 al. 1 CPP et 13 al. 1 du Règlement fixant le tarif des frais en matière pénale, RTFMP ; E 4 10.03). * * * * *</w:t>
      </w:r>
    </w:p>
    <w:p>
      <w:r>
        <w:t>- 9/10 - P/20023/2023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