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ACPR/614/2022 vom 8. August 2022</w:t>
      </w:r>
    </w:p>
    <w:p>
      <w:r>
        <w:t>GE Cour de justice, 2022-08-08, FR</w:t>
      </w:r>
    </w:p>
    <w:p>
      <w:r>
        <w:rPr>
          <w:b/>
        </w:rPr>
        <w:t xml:space="preserve">Quelle: </w:t>
      </w:r>
      <w:r>
        <w:t>https://mcp.opencaselaw.ch/entscheid/ge_gerichte_ACPR_614_2022</w:t>
      </w:r>
    </w:p>
    <w:p>
      <w:r>
        <w:t>FR: GE_GERICHTE ACPR/614/2022 du 8 août 2022</w:t>
      </w:r>
    </w:p>
    <w:p>
      <w:r>
        <w:t>IT: GE_GERICHTE ACPR/614/2022 del 8 agosto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de sorte qu'il n'y a pas lieu de s'y attarder.</w:t>
      </w:r>
    </w:p>
    <w:p>
      <w:r>
        <w:rPr>
          <w:b/>
        </w:rPr>
        <w:t>E. 3</w:t>
      </w:r>
    </w:p>
    <w:p>
      <w:r>
        <w:t>Il conteste notamment le risque de collusion, lequel pourrait, le cas échéant, être pallié par les mesures de substitution qu'il propose.</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les charges pesant sur le recourant sont très lourdes. Dans la mesure où les preuves apparaissent, en l'état, reposer avant tout sur les révélations progressivement faites par les enfants du prévenu, leurs déclarations sont essentielles. Cependant, compte tenu de leur âge, celles-ci n'ont pu être obtenues en une seule audition; les enfants révèlent les faits, au fur et à mesure, à l'occasion de contact avec les personnes ayant noué des rapports privilégiés avec eux. C'est ainsi que la fille du prévenu, âgée aujourd'hui de 6 ans, a tout d'abord refusé catégoriquement de dévoiler, à la police, "le secret" qu'elle avait avec son père. Ce n'est que progressivement qu'elle a révélé, les 13 et 29 avril 2022, des faits évoquant des actes d'ordre sexuel et d'urolagie et le 22 suivant, d'autres évoquant des fellations.</w:t>
      </w:r>
    </w:p>
    <w:p>
      <w:r>
        <w:t>- 12/15 - P/5662/2022 Encore récemment, en août 2022, elle aurait parlé d'actes d'ordre sexuel et d'urolagie, ce qu'aurait confirmé son frère. En outre, H______ soutient en avoir parlé à sa mère, ce que celle-ci conteste, sauf à une reprise où H______ a dit que sa mère ne savait rien. On se trouve ainsi face à une situation de dévoilement progressif et de faits de plus en plus graves révélés lors du placement des enfants en foyer et après l'éloignement du père. Ce processus doit pouvoir être mené à terme hors de la moindre intervention du père. Ainsi, le risque de collusion entre le père et les enfants est très important et celui entre lui et son épouse également, au regard des déclarations de la fille du couple sur ce qu'elle aurait dit à sa mère. Le Ministère public n'est pas à l'origine du placement des enfants et ne peut interférer sur le mode de fonctionnement du foyer. Il ne peut faire reposer sur les assistants l'obligation de contrôler des mesures de substitution, ni de surveiller toutes les relations des enfants, avec un regard policier. Rien n'empêcherait le recourant de se rendre au foyer – son seul engagement n'étant de loin pas suffisant – ne fusse pour que ses enfants l'aperçoivent ce qui pourrait créer chez eux une réaction de blocage et de mutisme. Ainsi, c'est à bon droit que le TMC a retenu le risque de collusion et l'absence de mesure de substitution pouvant le pallier, à tout le moins jusqu'à l'échéance fixée.</w:t>
      </w:r>
    </w:p>
    <w:p>
      <w:r>
        <w:rPr>
          <w:b/>
        </w:rPr>
        <w:t>E. 4</w:t>
      </w:r>
    </w:p>
    <w:p>
      <w:r>
        <w:t>Le risque de collusion étant réalisé, l'autorité de recours peut se dispenser d'examiner si les risques de fuite et de réitération le sont également (arrêt du Tribunal fédéral 1B_322/2019 du 17 juillet 2019 consid. 3.3 et la jurisprudence citée).</w:t>
      </w:r>
    </w:p>
    <w:p>
      <w:r>
        <w:rPr>
          <w:b/>
        </w:rPr>
        <w:t>E. 5</w:t>
      </w:r>
    </w:p>
    <w:p>
      <w:r>
        <w:t>Au vu de la peine menace concrètement encourue si le recourant devait être reconnu coupable des infractions qui lui sont reprochées, la durée de la détention provisoire subie et jusqu'à l'échéance fixée respecte le principe de la proportionnalité.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t>- 13/15 - P/5662/2022</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 L'indemnité du défenseur d'office sera fixée à la fin de la procédure (art. 135 al. 2 CPP). * * * * *</w:t>
      </w:r>
    </w:p>
    <w:p>
      <w:r>
        <w:t>- 14/15 - P/5662/2022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