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ACPR/613/2025 vom 11. September 2024</w:t>
      </w:r>
    </w:p>
    <w:p>
      <w:r>
        <w:t>GE Cour de justice, 2024-09-11, FR</w:t>
      </w:r>
    </w:p>
    <w:p>
      <w:r>
        <w:rPr>
          <w:b/>
        </w:rPr>
        <w:t xml:space="preserve">Quelle: </w:t>
      </w:r>
      <w:r>
        <w:t>https://mcp.opencaselaw.ch/entscheid/ge_gerichte_ACPR_613_2025</w:t>
      </w:r>
    </w:p>
    <w:p>
      <w:r>
        <w:t>FR: GE_GERICHTE ACPR/613/2025 du 11 septembre 2024</w:t>
      </w:r>
    </w:p>
    <w:p>
      <w:r>
        <w:t>IT: GE_GERICHTE ACPR/613/2025 del 11 settembre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Il concerne une ordonnance sujette à recours auprès de la Chambre de céans (art. 393 al. 1 let. a CPP).</w:t>
      </w:r>
    </w:p>
    <w:p>
      <w:r>
        <w:rPr>
          <w:b/>
        </w:rPr>
        <w:t>E. 2.2</w:t>
      </w:r>
    </w:p>
    <w:p>
      <w:r>
        <w:t>Il convient cependant d'examiner sa recevabilité, en tant qu'il a été déposé par le père de la victime présumée. Cette question doit être examinée d’office par l’autorité pénale, tout recourant devant s’attendre à ce que son recours soit examiné sous cet angle, sans qu’il en résulte pour autant de violation de son droit d’être entendu (arrêts du Tribunal fédéral 6B_1207/2013 du 14 mai 2014 consid. 2.1 et 6B_194/2014 du</w:t>
      </w:r>
    </w:p>
    <w:p>
      <w:r>
        <w:rPr>
          <w:b/>
        </w:rPr>
        <w:t>E. 2.2.1</w:t>
      </w:r>
    </w:p>
    <w:p>
      <w:r>
        <w:t>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Au rang des droits procéduraux de nature strictement personnelle figure notamment le droit d'interjeter recours. Si un conseil juridique peut certes déposer ou retirer lui- même le recours, il ne saurait ainsi agir contre la volonté expresse ou tacite de son mandant. En cas de doute, le comportement de la partie est déterminant (arrêts du Tribunal fédéral 6B_847/2015 du 13 juin 2016 consid. 2.1, 6B_790/2015 du</w:t>
      </w:r>
    </w:p>
    <w:p>
      <w:r>
        <w:rPr>
          <w:b/>
        </w:rPr>
        <w:t>E. 2.2.2</w:t>
      </w:r>
    </w:p>
    <w:p>
      <w:r>
        <w:t>En l'occurrence, A______ a déposé plainte pénale pour le compte de C______ et a attaqué la décision querellée, sans toutefois faire état de la position de son fils, victime présumée des infractions invoquées, à ce propos. Or, il sied de remarquer que C______ était, lors des actes précités de son père, âgé de</w:t>
      </w:r>
    </w:p>
    <w:p>
      <w:r>
        <w:rPr>
          <w:b/>
        </w:rPr>
        <w:t>E. 5</w:t>
      </w:r>
    </w:p>
    <w:p>
      <w:r>
        <w:t>août 2014 consid. 2.2).</w:t>
      </w:r>
    </w:p>
    <w:p>
      <w:r>
        <w:rPr>
          <w:b/>
        </w:rPr>
        <w:t>E. 6</w:t>
      </w:r>
    </w:p>
    <w:p>
      <w:r>
        <w:t>novembre 2015 consid. 3.4 et 6P.121/2003 du 9 octobre 2003 consid. 3.2). Est capable de discernement au sens du droit civil celui qui a la faculté d'agir raisonnablement (art. 16 CC). Cette disposition comporte deux éléments, l'un intellectuel, la capacité d'apprécier le sens, l'opportunité et les effets d'un acte déterminé, et l'autre volontaire ou caractériel, la faculté d'agir en fonction de cette compréhension raisonnable, selon sa libre volonté (ATF 134 II 235 consid. 4.3.2; 124 III 5 consid. 1a p. 8; ATF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w:t>
      </w:r>
    </w:p>
    <w:p>
      <w:r>
        <w:t>- 6/11 - P/5569/2024 Dans le domaine spécifique de la procédure pénale, et plus particulièrement lorsqu'il y a lieu d'apprécier l'aptitude d'un mineur à exercer son droit de témoigner ou de refuser de s'exprimer, il s'agit, en principe, de déterminer s'il est en mesure de concevoir le conflit d'intérêts dans lequel il est susceptible de se trouver en raison des liens familiaux, sans qu'il soit nécessaire qu'il ressente ce conflit ou qu'il puisse envisager toutes les conséquences de ses déclarations sur les autres membres de la famille et sur son propre avenir. Il suffit que l'enfant soit en mesure de comprendre que la personne sur le comportement de laquelle il est invité à s'exprimer a fait quelque chose d'illicite, qu'elle risque de se voir infliger une peine et que la déclaration à faire peut y contribuer. En règle générale, une telle capacité est donnée dès l'âge de 14-16 ans, si ce n'est même plus tôt (A. SCHEIDEGGER, Minderjährige als Zeugen und Auskunftspersonen im Strafverfahren, Zurich 2006, p. 106 s.).</w:t>
      </w:r>
    </w:p>
    <w:p>
      <w:r>
        <w:rPr>
          <w:b/>
        </w:rPr>
        <w:t>E. 11</w:t>
      </w:r>
    </w:p>
    <w:p>
      <w:r>
        <w:t>ans, soit d'un âge inférieur au seuil à partir duquel la capacité de discernement en matière de procédure pénale ne fait a priori aucun doute. Cela étant, après avoir indiqué, peu après sa fugue le 12 février 2024, que sa maman l'avait frappé, C______ n'a pas confirmé ces déclarations lorsqu'il a été entendu plus longuement par la police, selon le protocole NICHD, le 27 juin 2024, les infirmant au contraire. Dans ces circonstances, il existe un doute quant au fait de savoir si l'enfant était en mesure de comprendre les tenants et aboutissants de la procédure pénale et si, ce faisant, il souhaitait véritablement que sa mère fût poursuivie pour les infractions invoquées, par le biais de la plainte déposée, puis du recours interjeté. A______ ne démontre quoi qu'il en soit pas qu'il pouvait exercer pour son fils ce droit procédural de nature strictement personnelle. Aussi, la recevabilité du recours apparaît sujette à caution. En tout état de cause, celui- ci doit être rejeté pour les considérations qui suivent (infra, consid. 3.3.). 3. Le recourant fait grief au Ministère public de ne pas être entré en matière sur sa plainte. 3.1.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w:t>
      </w:r>
    </w:p>
    <w:p>
      <w:r>
        <w:t>- 7/11 - P/5569/2024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 3.2.1. L'art. 123 ch. 1 CP réprime, sur plainte, quiconque, intentionnellement, fait subir à une personne une autre atteinte – que grave – à l'intégrité corporelle ou à la santé. La poursuite a lieu d'office si l'auteur s'en prend à une personne, notamment à un enfant, dont il a la garde ou sur laquelle il a le devoir de veiller (art. 123 ch. 2 al. 2 CP). 3.2.2. L'art. 126 CP réprime, sur plainte, les voies de fait, lesquelles se définissent comme des atteintes physiques qui excèdent ce qui est socialement toléré et qui ne causent ni lésions corporelles, ni dommage à la santé. Une telle atteinte peut exister même si elle n'a causé aucune douleur physique. Une gifle, un coup de poing ou de pied, de fortes bourrades avec les mains ou les coudes ont notamment été qualifiés de voies de fait (arrêts du Tribunal fédéral 6B_693/2017 du 24 août 2017 consid. 2.1; 6B_1009/2014 du 2 avril 2015 consid. 4.2). La poursuite a lieu d'office si l'auteur agit à réitérées reprises contre une personne, notamment un enfant, dont il a la garde ou sur laquelle il a le devoir de veiller (art. 126 ch. 2 let. a CP). 3.2.3. L'art. 219 CP sanctionne, au titre de violation du devoir d'assistance ou d'éducation, quiconque viole son devoir d'assister ou d'élever une personne mineure dont il met ainsi en danger le développement physique ou psychique, ou qui manque à ce devoir.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(arrêts du Tribunal fédéral 6B_1199/2022 du 28 août 2023 consid. 3.1.3; 6B_457/2013 du 29 octobre 2013 consid. 2).</w:t>
      </w:r>
    </w:p>
    <w:p>
      <w:r>
        <w:t>- 8/11 - P/5569/2024 3.3. En l'espèce, le recourant, en se prévalant notamment du bilan AEMO établi le 19 mars 2024 qu'il a produit à l'appui de son recours, soutient que la mise en cause aurait frappé leur fils et qu'il y aurait ainsi lieu de la poursuivre pour lésions corporelles simples, voies de fait et violation du devoir d'assistance ou d'éducation. À cet égard, il sied préalablement d'observer que si ce bilan ne figurait pas précédemment au dossier, il reprend les informations essentielles contenues dans le dossier du SPMi versé à la procédure. Aussi, le Ministère public a rendu sa décision en tenant compte de ces informations. Certes, il ressort de ces documents qu'à la suite de sa fugue le 12 février 2024, C______ a déclaré que sa mère l'avait frappé et avait lancé des objets sur lui. Cela étant, entendu plus longuement par la police, selon le protocole NICHD, le 27 juin suivant, l'enfant n'a pas confirmé ces propos, expliquant avoir fugué car il était énervé, sa mère n'arrêtant pas de crier. Il a en outre expressément infirmé le fait qu'une personne ait pu lui faire du mal ou quelque chose qu'il n'avait pas souhaité. Ce revirement commande d'apprécier les premières déclarations de l'enfant avec circonspection. À cela s'ajoute le fait qu'il n'est pas exclu qu'il ait précédemment cherché à justifier sa fugue, notamment auprès de son père. Le bilan en question relève du reste que tant le comportement que les dires de C______ pouvaient être impactés par le conflit parental. La mise en cause a, pour sa part, contesté les accusations portées contre elle, indiquant ne jamais avoir levé la main sur son fils, admettant tout au plus d'avoir lancé des coussins dans sa direction le soir pour qu'il allât au lit, sans toutefois le toucher, ainsi que des affaires qu'il laissait traîner par terre, mais pas sur lui. Or, aucun élément objectif ne permet de suspecter des actes de maltraitance. En particulier, aucun document médical ne fonde de suspicion à cet égard. Alors qu'il suit la situation de la famille depuis plusieurs années, il n'apparaît pas que le SPMi ait jugé opportun de dénoncer la commission potentielle de tels actes par la mère. Aucun acte d'instruction n'apparaît susceptible d'apporter des éléments probants à cet égard. Partant, dans la mesure où les éléments constitutifs d'une infraction n'apparaissent pas réunis ‒ et en particulier pas ceux des infractions invoquées ‒, c'est à bon droit que le Ministère public a refusé d'entrer en matière sur la plainte du recourant. 4. Justifiée, l'ordonnance querellée sera donc confirmée et le recours rejeté. 5. Le recourant, qui succombe, supportera les frais envers l’État qui seront fixés à CHF 1'000.- en totalité, émolument de décision inclus (art. 428 al. 1 CPP; art. 3 cum art. 13 al. 1 Règlement fixant le tarif des frais en matière pénale [RTFMP]), somme qui sera prélevée sur le montant des sûretés versées par ses soins (art. 383 CPP).</w:t>
      </w:r>
    </w:p>
    <w:p>
      <w:r>
        <w:t>- 9/11 - P/5569/2024 6. Compte tenu de ce qui précède, il n'y a pas lieu à l'octroi d'une indemnité au sens de l'art. 433 al. 1 CPP, le recourant ne l'ayant au demeurant pas sollicitée. * * * * *</w:t>
      </w:r>
    </w:p>
    <w:p>
      <w:r>
        <w:t>- 10/11 - P/5569/2024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