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ACPR/613/2019 vom 5. März 2019</w:t>
      </w:r>
    </w:p>
    <w:p>
      <w:r>
        <w:t>GE Cour de justice, 2019-03-05, FR</w:t>
      </w:r>
    </w:p>
    <w:p>
      <w:r>
        <w:rPr>
          <w:b/>
        </w:rPr>
        <w:t xml:space="preserve">Quelle: </w:t>
      </w:r>
      <w:r>
        <w:t>https://mcp.opencaselaw.ch/entscheid/ge_gerichte_ACPR_613_2019</w:t>
      </w:r>
    </w:p>
    <w:p>
      <w:r>
        <w:t>FR: GE_GERICHTE ACPR/613/2019 du 5 mars 2019</w:t>
      </w:r>
    </w:p>
    <w:p>
      <w:r>
        <w:t>IT: GE_GERICHTE ACPR/613/2019 del 5 marzo 2019</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estime que le mis en cause aurait violé le secret bancaire, à tout le moins que le Ministère public aurait dû poursuivre son instruction, de sorte qu'il ne pouvait rendre une ordonnance de non-entrée en matière.</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w:t>
      </w:r>
    </w:p>
    <w:p>
      <w:r>
        <w:t>- 7/11 - P/17430/2017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 DCPR/104/2011 du 11 mai 2011). 2.2.1. Selon l'art. 47 LB, est puni d'une peine privative de liberté de trois ans au plus ou d'une peine pécuniaire celui qui, intentionnellement, révèle un secret à lui confié ou dont il a eu connaissance en sa qualité d'employé d'une banque (al. 1 let. a) ou révèle un secret qui lui a été confié au sens de la let. a ou exploite ce secret à son profit ou au profit d'un tiers (al. 1 let. c). L'infraction commise par négligence est passible d'une amende (al. 2). "Révéler" consiste à porter à la connaissance d'autrui,</w:t>
      </w:r>
    </w:p>
    <w:p>
      <w:r>
        <w:t>- 8/11 - P/17430/2017 même partiellement, le secret et à agrandir de façon indue le cercle des détenteurs du secret (cf., pour l'art. 162 CP, M. DUPUIS / L. MOREILLON / C. PIGUET / S. BERGER / M. MAZOU / V. RODIGARI (éds), Code pénal - Petit commentaire, 2e éd., Bâle 2017, n. 10 ad art. 162). 2.2.2. Le secret est un fait qui n'est connu que d'un nombre restreint de personnes, que le détenteur du secret veut maintenir secret et pour lequel il existe un intérêt au maintien du secret. Il n'y a pas de secret si l'information a déjà été rendue publique ou si elle est sans difficulté accessible à toute personne qui s'y intéresse (ATF 142 IV 65 consid. 5.1 p. 67; 116 IV 56 consid. II/1.a p. 65; 114 IV 44 consid. 2 p. 46; arrêt du Tribunal fédéral 6B_1369/2016 du 20 juillet 2017 consid. 4.1 [rendu en application de l'art. 320 CP]; B. CORBOZ, Les infractions en droit suisse, vol. II, 3e éd. 2010, n° 20 ad art. 320 CP). 2.3.1. En l'espèce, une recherche internet ("C_______ ______ [Italie]") fait immédiatement apparaître en première page "https://_______.html", lien dans lequel apparaît en début de lecture la référence à la condamnation de l'intéressée. En conséquence, cette parution sur un domaine public facilement accessible à toute personne ayant recours à cet instrument devenu banal lève tout secret sur l'information concernant les démêlés judiciaires de C_______. En ce sens déjà, l'infraction dénoncée ne serait pas réalisée et l'ordonnance querellée doit être confirmée. 2.3.2. Étant par ailleurs établi que c'est la recourante qui a sollicité l'ouverture d'un compte auprès de D_______ pour des transactions au quotidien, et que cette dernière, qui ne propose pas ce service, l'a dirigée vers E_______, en précisant qu'il s'agissait d'un membre du même groupe, elle ne peut pas contester l'existence d'une relation tripartite comportant nécessairement des communications internes. C'est d'ailleurs la recourante elle-même qui a précisé dans un courriel à l'une des entités que son compte ne serait alimenté que pour autant que l'argent ne reste pas sur le compte qu'elle détenait auprès de l'autre. Elle a ainsi accepté une perméabilité entre ces deux établissements, au demeurant logique, et rien ne démontre qu'elle aurait voulu, et fait savoir, que tel ne devait pas être le cas. De plus, le formulaire de renonciation au secret bancaire qu'elle a signé mentionne la possibilité pour D_______ de transférer à l'une des filiales ou succursales de la société-mère, ce qu'est E_______, "any and all information and documents pertaining to the Customer's business, dealings, assets, financing including the identity of the beneficial and controlling owner to the extent that D_______ deems such disclosure or transfer necessary or desirable to carry out its duties, obligations and activities resulting from the banking relationship or by operation of law and/or for the purposes of consolidated supervision and risk management". En conséquence, D_______ était dûment autorisée par la recourante à communiquer des informations à un autre établissement du même groupe, ce qui conduit à écarter le grief soulevé à cet égard.</w:t>
      </w:r>
    </w:p>
    <w:p>
      <w:r>
        <w:t>- 9/11 - P/17430/2017 2.3.3. Enfin, le dossier ne permet pas de conclure que le mis en cause aurait communiqué, dans des termes extrêmement neutres, autre chose que la cessation de la relation d'affaires avec la recourante, se contentant d'informer qu'il avait prévenu E_______. On ne voit pas quel secret cacherait cette terminologie, qui se limite donc à la communication d'informations qui ne relève pas d'une norme pénale.</w:t>
      </w:r>
    </w:p>
    <w:p>
      <w:r>
        <w:rPr>
          <w:b/>
        </w:rPr>
        <w:t>E. 3</w:t>
      </w:r>
    </w:p>
    <w:p>
      <w:r>
        <w:t>Dès lors, la non-entrée en matière s'avère justifiée, et le recours infondé.</w:t>
      </w:r>
    </w:p>
    <w:p>
      <w:r>
        <w:rPr>
          <w:b/>
        </w:rPr>
        <w:t>E. 4</w:t>
      </w:r>
    </w:p>
    <w:p>
      <w:r>
        <w:t>La recourante, qui succombe, supportera les frais de l'État, fixés en totalité à CHF 2'000.- (art. 428 al. 1 CPP et 13 al. 1 du Règlement fixant le tarif des frais en matière pénale, RTFMP; E 4 10.03). * * * * *</w:t>
      </w:r>
    </w:p>
    <w:p>
      <w:r>
        <w:t>- 10/11 - P/17430/2017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