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ACPR/611/2022 vom 10. August 2022</w:t>
      </w:r>
    </w:p>
    <w:p>
      <w:r>
        <w:t>GE Cour de justice, 2022-08-10, FR</w:t>
      </w:r>
    </w:p>
    <w:p>
      <w:r>
        <w:rPr>
          <w:b/>
        </w:rPr>
        <w:t xml:space="preserve">Quelle: </w:t>
      </w:r>
      <w:r>
        <w:t>https://mcp.opencaselaw.ch/entscheid/ge_gerichte_ACPR_611_2022</w:t>
      </w:r>
    </w:p>
    <w:p>
      <w:r>
        <w:t>FR: GE_GERICHTE ACPR/611/2022 du 10 août 2022</w:t>
      </w:r>
    </w:p>
    <w:p>
      <w:r>
        <w:t>IT: GE_GERICHTE ACPR/611/2022 del 10 agosto 2022</w:t>
      </w:r>
    </w:p>
    <w:p>
      <w:pPr>
        <w:pStyle w:val="Heading2"/>
      </w:pPr>
      <w:r>
        <w:t>Erwägungen</w:t>
      </w:r>
    </w:p>
    <w:p>
      <w:r>
        <w:rPr>
          <w:b/>
        </w:rPr>
        <w:t>E. 1.1</w:t>
      </w:r>
    </w:p>
    <w:p>
      <w:r>
        <w:t>Le recours est recevable pour avoir été déposé selon la forme et dans le délai prescrits (art. 385 al. 1 et 396 al. 1 CPP), concerner une ordonnance du TMC portant sur la détention provisoire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- 5/8 - P/3356/202216216/2022</w:t>
      </w:r>
    </w:p>
    <w:p>
      <w:r>
        <w:rPr>
          <w:b/>
        </w:rPr>
        <w:t>E. 1.2</w:t>
      </w:r>
    </w:p>
    <w:p>
      <w:r>
        <w:t>Par contre, les conclusions tendant au constat d'incompétence des autorités genevoises ne sont pas recevables. La Chambre de céans est appelée, en l'espèce, à statuer sur la décision rendue par le TMC lequel n'a pas été saisi de cette problématique. De plus, la question de la compétence des autorités genevoises ou soleuroises n'a pas d'incidence sur la licéité de la détention du recourant, à partir du moment où les autorités suisses sont de toute manière compétentes (art. 3 al. 1 CP). Enfin, il est douteux que la Chambre de céans soit l'autorité de recours de décision portant sur un for contesté (art. 41 al. 2 CPP; arrêt du Tribunal pénal fédéral BG.2020.17 du 17 juin 2020 consid. 1.2). Point n'est besoin cependant de statuer sur cette question.</w:t>
      </w:r>
    </w:p>
    <w:p>
      <w:r>
        <w:rPr>
          <w:b/>
        </w:rPr>
        <w:t>E. 2</w:t>
      </w:r>
    </w:p>
    <w:p>
      <w:r>
        <w:t>Le recourant ne revient pas sur les charges, graves et suffisantes à teneur du dossier. Il n'y a donc pas à s'y attarder.</w:t>
      </w:r>
    </w:p>
    <w:p>
      <w:r>
        <w:rPr>
          <w:b/>
        </w:rPr>
        <w:t>E. 3</w:t>
      </w:r>
    </w:p>
    <w:p>
      <w:r>
        <w:t>Il conteste le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l'enquête ne fait que débuter. Le Procureur attend les résultats de l'analyse du raccordement du recourant pour déterminer l'ampleur du trafic auquel ce dernier avait participé ainsi que l'identité du fournisseur – que le prévenu refuse de communiquer – venu chez lui le 24 juillet 2022. On ne peut suivre le recourant lorsqu'il soutient ne pas être concerné par l'enquête initialement dirigée contre son fournisseur, chacun étant un participant au trafic.</w:t>
      </w:r>
    </w:p>
    <w:p>
      <w:r>
        <w:t>- 6/8 - P/3356/202216216/2022 Aucune mesure de substitution n'est envisageable, à ce stade de l'instruction, et le recourant n'en propose pas, celles suggérées visant uniquement à pallier le risque de fuite. Partant, c'est à bon droit que le TMC a retenu ce risque.</w:t>
      </w:r>
    </w:p>
    <w:p>
      <w:r>
        <w:rPr>
          <w:b/>
        </w:rPr>
        <w:t>E. 4</w:t>
      </w:r>
    </w:p>
    <w:p>
      <w:r>
        <w:t>Le risque de collusion étant réalisé, l'autorité de recours peut se dispenser d'examiner si le risque de fuite l'est également (arrêt du Tribunal fédéral 1B_322/2019 du 17 juillet 2019 consid. 3.3 et la jurisprudence citée).</w:t>
      </w:r>
    </w:p>
    <w:p>
      <w:r>
        <w:rPr>
          <w:b/>
        </w:rPr>
        <w:t>E. 5</w:t>
      </w:r>
    </w:p>
    <w:p>
      <w:r>
        <w:t>Au vu de la peine menace et concrètement encourue si le recourant devait être reconnu coupable des faits reprochés, la durée de la détention provisoire subie à ce jour reste proportionnée.</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de ce premier recours ne procède pas d'un abus. L'indemnité du défenseur d'office sera fixée à la fin de la procédure (art. 135 al. 2 CPP). * * * * *</w:t>
      </w:r>
    </w:p>
    <w:p>
      <w:r>
        <w:t>- 7/8 - P/3356/202216216/2022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